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en-US"/>
        </w:rPr>
      </w:pPr>
      <w:r>
        <w:rPr>
          <w:lang w:val="en-US"/>
        </w:rPr>
        <w:t>一、名词解释（每题10分，共100分）</w:t>
      </w:r>
    </w:p>
    <w:p>
      <w:pPr>
        <w:rPr>
          <w:lang w:val="en-US"/>
        </w:rPr>
      </w:pPr>
      <w:r>
        <w:rPr>
          <w:lang w:val="en-US"/>
        </w:rPr>
        <w:t>1、Triple blind</w:t>
      </w:r>
    </w:p>
    <w:p>
      <w:pPr>
        <w:rPr>
          <w:rFonts w:hint="eastAsia"/>
          <w:color w:val="0000FF"/>
          <w:lang w:val="en-US" w:eastAsia="zh-CN"/>
        </w:rPr>
      </w:pPr>
      <w:r>
        <w:rPr>
          <w:rFonts w:hint="eastAsia"/>
          <w:color w:val="0000FF"/>
          <w:lang w:val="en-US" w:eastAsia="zh-CN"/>
        </w:rPr>
        <w:t>三盲（Triple blind)：指不但研究实施者和研究对象不了解分组情况，负责资料收集和分析的人员也不了解分组情况，从而较好地避免了偏倚。</w:t>
      </w:r>
    </w:p>
    <w:p>
      <w:pPr>
        <w:numPr>
          <w:ilvl w:val="0"/>
          <w:numId w:val="1"/>
        </w:numPr>
        <w:rPr>
          <w:lang w:val="en-US"/>
        </w:rPr>
      </w:pPr>
      <w:r>
        <w:rPr>
          <w:lang w:val="en-US"/>
        </w:rPr>
        <w:t>真性人畜共患病</w:t>
      </w:r>
    </w:p>
    <w:p>
      <w:pPr>
        <w:numPr>
          <w:ilvl w:val="0"/>
          <w:numId w:val="0"/>
        </w:numPr>
        <w:rPr>
          <w:rFonts w:hint="eastAsia"/>
          <w:color w:val="0000FF"/>
          <w:lang w:val="en-US"/>
        </w:rPr>
      </w:pPr>
      <w:r>
        <w:rPr>
          <w:rFonts w:hint="eastAsia"/>
          <w:color w:val="0000FF"/>
          <w:lang w:val="en-US"/>
        </w:rPr>
        <w:t>病原体必须以人和动物分别作为终宿主和中间宿主，即病原体的生活史必须在人和动物体内协同完成，缺一不可 如牛绦虫病、猪绦虫病等。</w:t>
      </w:r>
    </w:p>
    <w:p>
      <w:pPr>
        <w:numPr>
          <w:ilvl w:val="0"/>
          <w:numId w:val="1"/>
        </w:numPr>
        <w:ind w:left="0" w:leftChars="0" w:firstLine="0" w:firstLineChars="0"/>
        <w:rPr>
          <w:lang w:val="en-US"/>
        </w:rPr>
      </w:pPr>
      <w:r>
        <w:rPr>
          <w:lang w:val="en-US"/>
        </w:rPr>
        <w:t>理论频数</w:t>
      </w:r>
    </w:p>
    <w:p>
      <w:pPr>
        <w:numPr>
          <w:ilvl w:val="0"/>
          <w:numId w:val="0"/>
        </w:numPr>
        <w:ind w:leftChars="0"/>
        <w:rPr>
          <w:color w:val="0000FF"/>
          <w:lang w:val="en-US"/>
        </w:rPr>
      </w:pPr>
      <w:r>
        <w:rPr>
          <w:rFonts w:hint="eastAsia"/>
          <w:color w:val="0000FF"/>
          <w:lang w:val="en-US"/>
        </w:rPr>
        <w:t>Ho成立的前提下，按照合并的样本率估算，各组应分配的平均频数。</w:t>
      </w:r>
    </w:p>
    <w:p>
      <w:pPr>
        <w:numPr>
          <w:ilvl w:val="0"/>
          <w:numId w:val="1"/>
        </w:numPr>
        <w:ind w:left="0" w:leftChars="0" w:firstLine="0" w:firstLineChars="0"/>
        <w:rPr>
          <w:lang w:val="en-US"/>
        </w:rPr>
      </w:pPr>
      <w:r>
        <w:rPr>
          <w:lang w:val="en-US"/>
        </w:rPr>
        <w:t>生存曲线</w:t>
      </w:r>
    </w:p>
    <w:p>
      <w:pPr>
        <w:numPr>
          <w:ilvl w:val="0"/>
          <w:numId w:val="0"/>
        </w:numPr>
        <w:ind w:leftChars="0"/>
        <w:rPr>
          <w:color w:val="0000FF"/>
          <w:lang w:val="en-US"/>
        </w:rPr>
      </w:pPr>
      <w:r>
        <w:rPr>
          <w:rFonts w:hint="eastAsia"/>
          <w:color w:val="0000FF"/>
          <w:lang w:val="en-US"/>
        </w:rPr>
        <w:t>以生存时间t</w:t>
      </w:r>
      <w:r>
        <w:rPr>
          <w:rFonts w:hint="eastAsia"/>
          <w:color w:val="0000FF"/>
          <w:lang w:val="en-US" w:eastAsia="zh-CN"/>
        </w:rPr>
        <w:t>i</w:t>
      </w:r>
      <w:r>
        <w:rPr>
          <w:rFonts w:hint="eastAsia"/>
          <w:color w:val="0000FF"/>
          <w:lang w:val="en-US"/>
        </w:rPr>
        <w:t>为横坐标，各时间点的生存率S(t</w:t>
      </w:r>
      <w:r>
        <w:rPr>
          <w:rFonts w:hint="eastAsia"/>
          <w:color w:val="0000FF"/>
          <w:lang w:val="en-US" w:eastAsia="zh-CN"/>
        </w:rPr>
        <w:t>i</w:t>
      </w:r>
      <w:r>
        <w:rPr>
          <w:rFonts w:hint="eastAsia"/>
          <w:color w:val="0000FF"/>
          <w:lang w:val="en-US"/>
        </w:rPr>
        <w:t>）为纵坐标，将各个时点的生存率连接在一起绘制成连续型的曲线称之为生存曲线。</w:t>
      </w:r>
    </w:p>
    <w:p>
      <w:pPr>
        <w:rPr>
          <w:lang w:val="en-US"/>
        </w:rPr>
      </w:pPr>
      <w:r>
        <w:rPr>
          <w:lang w:val="en-US"/>
        </w:rPr>
        <w:t>5、食物中毒</w:t>
      </w:r>
    </w:p>
    <w:p>
      <w:pPr>
        <w:rPr>
          <w:color w:val="0000FF"/>
          <w:lang w:val="en-US"/>
        </w:rPr>
      </w:pPr>
      <w:r>
        <w:rPr>
          <w:rFonts w:hint="eastAsia"/>
          <w:color w:val="0000FF"/>
          <w:lang w:val="en-US"/>
        </w:rPr>
        <w:t>食物中毒（Food poisoning)：指摄入含有生物性、化学性有毒有害物质的食品或把有毒有害物质当作食品摄入后所出现的非传染性的急性、亚急性疾病。</w:t>
      </w:r>
    </w:p>
    <w:p>
      <w:pPr>
        <w:numPr>
          <w:ilvl w:val="0"/>
          <w:numId w:val="2"/>
        </w:numPr>
        <w:rPr>
          <w:lang w:val="en-US"/>
        </w:rPr>
      </w:pPr>
      <w:r>
        <w:rPr>
          <w:lang w:val="en-US"/>
        </w:rPr>
        <w:t>生物价</w:t>
      </w:r>
    </w:p>
    <w:p>
      <w:pPr>
        <w:numPr>
          <w:ilvl w:val="0"/>
          <w:numId w:val="0"/>
        </w:numPr>
        <w:rPr>
          <w:rFonts w:hint="eastAsia"/>
          <w:color w:val="0000FF"/>
          <w:lang w:val="en-US"/>
        </w:rPr>
      </w:pPr>
      <w:r>
        <w:rPr>
          <w:rFonts w:hint="eastAsia"/>
          <w:color w:val="0000FF"/>
          <w:lang w:val="en-US"/>
        </w:rPr>
        <w:t>生物价（BV)：蛋白质生物价是反映食物蛋白质消化吸收后，被机体利用程度的指标，生物价的值越高，表明其被机体利用程度越高。最大值为100%。</w:t>
      </w:r>
    </w:p>
    <w:p>
      <w:pPr>
        <w:numPr>
          <w:ilvl w:val="0"/>
          <w:numId w:val="0"/>
        </w:numPr>
        <w:rPr>
          <w:rFonts w:hint="eastAsia"/>
          <w:color w:val="0000FF"/>
          <w:lang w:val="en-US"/>
        </w:rPr>
      </w:pPr>
      <w:r>
        <w:rPr>
          <w:rFonts w:hint="eastAsia"/>
          <w:color w:val="0000FF"/>
          <w:lang w:val="en-US"/>
        </w:rPr>
        <w:t>生物价（%)＝储留氮／吸收氮x100%</w:t>
      </w:r>
    </w:p>
    <w:p>
      <w:pPr>
        <w:numPr>
          <w:ilvl w:val="0"/>
          <w:numId w:val="0"/>
        </w:numPr>
        <w:rPr>
          <w:rFonts w:hint="eastAsia"/>
          <w:color w:val="0000FF"/>
          <w:lang w:val="en-US"/>
        </w:rPr>
      </w:pPr>
      <w:r>
        <w:rPr>
          <w:rFonts w:hint="eastAsia"/>
          <w:color w:val="0000FF"/>
          <w:lang w:val="en-US"/>
        </w:rPr>
        <w:t>吸收氮＝食物氮﹣（粪氮﹣粪代谢氮）</w:t>
      </w:r>
    </w:p>
    <w:p>
      <w:pPr>
        <w:numPr>
          <w:ilvl w:val="0"/>
          <w:numId w:val="0"/>
        </w:numPr>
        <w:rPr>
          <w:color w:val="0000FF"/>
          <w:lang w:val="en-US"/>
        </w:rPr>
      </w:pPr>
      <w:r>
        <w:rPr>
          <w:rFonts w:hint="eastAsia"/>
          <w:color w:val="0000FF"/>
          <w:lang w:val="en-US"/>
        </w:rPr>
        <w:t>储留氮＝吸收氮﹣（尿氮﹣尿内源性氮）</w:t>
      </w:r>
    </w:p>
    <w:p>
      <w:pPr>
        <w:numPr>
          <w:ilvl w:val="0"/>
          <w:numId w:val="2"/>
        </w:numPr>
        <w:ind w:left="0" w:leftChars="0" w:firstLine="0" w:firstLineChars="0"/>
        <w:rPr>
          <w:lang w:val="en-US"/>
        </w:rPr>
      </w:pPr>
      <w:r>
        <w:rPr>
          <w:lang w:val="en-US"/>
        </w:rPr>
        <w:t>卫生防护隔离</w:t>
      </w:r>
    </w:p>
    <w:p>
      <w:pPr>
        <w:numPr>
          <w:ilvl w:val="0"/>
          <w:numId w:val="0"/>
        </w:numPr>
        <w:ind w:leftChars="0"/>
        <w:rPr>
          <w:color w:val="0000FF"/>
          <w:lang w:val="en-US"/>
        </w:rPr>
      </w:pPr>
      <w:r>
        <w:rPr>
          <w:rFonts w:hint="eastAsia"/>
          <w:color w:val="0000FF"/>
          <w:lang w:val="en-US"/>
        </w:rPr>
        <w:t>卫生防护距离（Sanitary protective zone) 是指产生有害因素车间的边界至居住区边界的最小距离。</w:t>
      </w:r>
    </w:p>
    <w:p>
      <w:pPr>
        <w:numPr>
          <w:ilvl w:val="0"/>
          <w:numId w:val="2"/>
        </w:numPr>
        <w:ind w:left="0" w:leftChars="0" w:firstLine="0" w:firstLineChars="0"/>
        <w:rPr>
          <w:lang w:val="en-US"/>
        </w:rPr>
      </w:pPr>
      <w:r>
        <w:rPr>
          <w:lang w:val="en-US"/>
        </w:rPr>
        <w:t>有效温度</w:t>
      </w:r>
    </w:p>
    <w:p>
      <w:pPr>
        <w:numPr>
          <w:ilvl w:val="0"/>
          <w:numId w:val="0"/>
        </w:numPr>
        <w:ind w:leftChars="0"/>
        <w:rPr>
          <w:color w:val="0000FF"/>
          <w:lang w:val="en-US"/>
        </w:rPr>
      </w:pPr>
      <w:r>
        <w:rPr>
          <w:rFonts w:hint="eastAsia"/>
          <w:color w:val="0000FF"/>
          <w:lang w:val="en-US"/>
        </w:rPr>
        <w:t>有效温度（Effective temperature,ET)：是在不同温度，湿度和风速的综合作用下，人体产生的冷热感觉指标。以风速为0m/s，相对湿度为100%，气温为17.7℃时产生的温热感作为评价标准．将其他不同气温、气湿和风速组成的小气候与之比较而得出的有效温度值。</w:t>
      </w:r>
    </w:p>
    <w:p>
      <w:pPr>
        <w:rPr>
          <w:lang w:val="en-US"/>
        </w:rPr>
      </w:pPr>
      <w:r>
        <w:rPr>
          <w:lang w:val="en-US"/>
        </w:rPr>
        <w:t>9、手臂震动病</w:t>
      </w:r>
    </w:p>
    <w:p>
      <w:pPr>
        <w:rPr>
          <w:color w:val="0000FF"/>
          <w:lang w:val="en-US"/>
        </w:rPr>
      </w:pPr>
      <w:r>
        <w:rPr>
          <w:rFonts w:hint="eastAsia"/>
          <w:color w:val="0000FF"/>
          <w:lang w:val="en-US"/>
        </w:rPr>
        <w:t>手臂振动病（Hand-arm vibration): 是长期从事手传振动作业而引起的以手部末梢循环障碍、手赋神经功能障碍为主的疾病，并可引起手、臂骨关节、肌肉的损伤，其典型表现为振动性白提。</w:t>
      </w:r>
    </w:p>
    <w:p>
      <w:pPr>
        <w:numPr>
          <w:ilvl w:val="0"/>
          <w:numId w:val="3"/>
        </w:numPr>
        <w:rPr>
          <w:lang w:val="en-US"/>
        </w:rPr>
      </w:pPr>
      <w:r>
        <w:rPr>
          <w:lang w:val="en-US"/>
        </w:rPr>
        <w:t>负荷与应急</w:t>
      </w:r>
    </w:p>
    <w:p>
      <w:pPr>
        <w:numPr>
          <w:ilvl w:val="0"/>
          <w:numId w:val="0"/>
        </w:numPr>
        <w:rPr>
          <w:rFonts w:hint="eastAsia"/>
          <w:color w:val="0000FF"/>
          <w:lang w:val="en-US"/>
        </w:rPr>
      </w:pPr>
      <w:r>
        <w:rPr>
          <w:rFonts w:hint="eastAsia"/>
          <w:color w:val="0000FF"/>
          <w:lang w:val="en-US"/>
        </w:rPr>
        <w:t>负荷与应激在力学上称为应力与应变，在劳动心理上称作紧张与紧张反应</w:t>
      </w:r>
    </w:p>
    <w:p>
      <w:pPr>
        <w:numPr>
          <w:ilvl w:val="0"/>
          <w:numId w:val="0"/>
        </w:numPr>
        <w:rPr>
          <w:rFonts w:hint="eastAsia"/>
          <w:color w:val="0000FF"/>
          <w:lang w:val="en-US"/>
        </w:rPr>
      </w:pPr>
      <w:r>
        <w:rPr>
          <w:rFonts w:hint="eastAsia"/>
          <w:color w:val="0000FF"/>
          <w:lang w:val="en-US"/>
        </w:rPr>
        <w:t>①负荷：指劳动系统对人总的需求和压力，负荷强调外界的因素和情形。</w:t>
      </w:r>
    </w:p>
    <w:p>
      <w:pPr>
        <w:numPr>
          <w:ilvl w:val="0"/>
          <w:numId w:val="0"/>
        </w:numPr>
        <w:rPr>
          <w:color w:val="0000FF"/>
          <w:lang w:val="en-US"/>
        </w:rPr>
      </w:pPr>
      <w:r>
        <w:rPr>
          <w:rFonts w:hint="eastAsia"/>
          <w:color w:val="0000FF"/>
          <w:lang w:val="en-US"/>
        </w:rPr>
        <w:t>②应激：负荷对机体的影响，强调在负荷作用下机体内部的生物过程和反应。</w:t>
      </w:r>
    </w:p>
    <w:p>
      <w:pPr>
        <w:rPr>
          <w:woUserID w:val="1"/>
        </w:rPr>
      </w:pPr>
      <w:r>
        <w:rPr>
          <w:woUserID w:val="1"/>
        </w:rPr>
        <w:t>二、简答题（每题15分，共75分）</w:t>
      </w:r>
    </w:p>
    <w:p>
      <w:pPr>
        <w:rPr>
          <w:woUserID w:val="1"/>
        </w:rPr>
      </w:pPr>
      <w:r>
        <w:rPr>
          <w:woUserID w:val="1"/>
        </w:rPr>
        <w:t>1、病例对照研究中选择对照的方法及匹配的注意事项。</w:t>
      </w:r>
    </w:p>
    <w:p>
      <w:pPr>
        <w:rPr>
          <w:rFonts w:hint="default"/>
          <w:color w:val="0000FF"/>
          <w:woUserID w:val="1"/>
        </w:rPr>
      </w:pPr>
      <w:r>
        <w:rPr>
          <w:rFonts w:hint="default"/>
          <w:color w:val="0000FF"/>
          <w:woUserID w:val="1"/>
        </w:rPr>
        <w:t>(1）选择对照的方法：</w:t>
      </w:r>
    </w:p>
    <w:p>
      <w:pPr>
        <w:rPr>
          <w:rFonts w:hint="default"/>
          <w:color w:val="0000FF"/>
          <w:woUserID w:val="1"/>
        </w:rPr>
      </w:pPr>
      <w:r>
        <w:rPr>
          <w:rFonts w:hint="default"/>
          <w:color w:val="0000FF"/>
          <w:woUserID w:val="1"/>
        </w:rPr>
        <w:t>主要采取匹配与非匹配两种方法选择对照，非匹配设计时，选择对照时没有任何限制和要求。匹配(Matching）是要求对照在某些特征或因素上与病例保持一致，保证对照与病例具有可比性，以便对两组进行比较时排除匹配因素的干扰 其目的主要是提高研究效率，其次是控制混杂因素的干扰</w:t>
      </w:r>
    </w:p>
    <w:p>
      <w:pPr>
        <w:rPr>
          <w:rFonts w:hint="default"/>
          <w:color w:val="0000FF"/>
          <w:woUserID w:val="1"/>
        </w:rPr>
      </w:pPr>
      <w:r>
        <w:rPr>
          <w:rFonts w:hint="default"/>
          <w:color w:val="0000FF"/>
          <w:woUserID w:val="1"/>
        </w:rPr>
        <w:t>(2）注意事项：</w:t>
      </w:r>
    </w:p>
    <w:p>
      <w:pPr>
        <w:rPr>
          <w:rFonts w:hint="default"/>
          <w:color w:val="0000FF"/>
          <w:woUserID w:val="1"/>
        </w:rPr>
      </w:pPr>
      <w:r>
        <w:rPr>
          <w:rFonts w:hint="eastAsia"/>
          <w:color w:val="0000FF"/>
          <w:lang w:val="en-US" w:eastAsia="zh-CN"/>
          <w:woUserID w:val="1"/>
        </w:rPr>
        <w:t>①</w:t>
      </w:r>
      <w:r>
        <w:rPr>
          <w:rFonts w:hint="default"/>
          <w:color w:val="0000FF"/>
          <w:woUserID w:val="1"/>
        </w:rPr>
        <w:t>匹配变量必须是已知的混杂因素，或有充分的理由怀疑为混杂因素，否则不应匹配。</w:t>
      </w:r>
    </w:p>
    <w:p>
      <w:pPr>
        <w:rPr>
          <w:rFonts w:hint="default"/>
          <w:color w:val="0000FF"/>
          <w:woUserID w:val="1"/>
        </w:rPr>
      </w:pPr>
      <w:r>
        <w:rPr>
          <w:rFonts w:hint="default"/>
          <w:color w:val="0000FF"/>
          <w:woUserID w:val="1"/>
        </w:rPr>
        <w:t>②疾病因果链上的中间变量不应匹配。</w:t>
      </w:r>
    </w:p>
    <w:p>
      <w:pPr>
        <w:rPr>
          <w:rFonts w:hint="default"/>
          <w:color w:val="0000FF"/>
          <w:woUserID w:val="1"/>
        </w:rPr>
      </w:pPr>
      <w:r>
        <w:rPr>
          <w:rFonts w:hint="default"/>
          <w:color w:val="0000FF"/>
          <w:woUserID w:val="1"/>
        </w:rPr>
        <w:t>③只与可疑病因有关而与疾病无关的因素不应匹配。</w:t>
      </w:r>
    </w:p>
    <w:p>
      <w:pPr>
        <w:rPr>
          <w:rFonts w:hint="default"/>
          <w:color w:val="0000FF"/>
          <w:woUserID w:val="1"/>
        </w:rPr>
      </w:pPr>
      <w:r>
        <w:rPr>
          <w:rFonts w:hint="default"/>
          <w:color w:val="0000FF"/>
          <w:woUserID w:val="1"/>
        </w:rPr>
        <w:t>④在一个研究中，不应该选择很多匹配因素，因为匹配变量越多，选择合格的对照就越困难。</w:t>
      </w:r>
    </w:p>
    <w:p>
      <w:pPr>
        <w:rPr>
          <w:rFonts w:hint="default"/>
          <w:color w:val="0000FF"/>
          <w:woUserID w:val="1"/>
        </w:rPr>
      </w:pPr>
      <w:r>
        <w:rPr>
          <w:rFonts w:hint="default"/>
          <w:color w:val="0000FF"/>
          <w:woUserID w:val="1"/>
        </w:rPr>
        <w:t>⑤匹配过度（Overmatching) 把不起混杂作用的因素作为匹配变量进行匹配，试图使对照组与病例组在多方面都一致，结果导致所研究的因素也趋于一致，结果反而降低了研究效率 ⑥一定不能将研究者感兴趣的研究变量作为匹配因素。</w:t>
      </w:r>
    </w:p>
    <w:p>
      <w:pPr>
        <w:rPr>
          <w:woUserID w:val="1"/>
        </w:rPr>
      </w:pPr>
      <w:r>
        <w:rPr>
          <w:rFonts w:hint="default"/>
          <w:color w:val="0000FF"/>
          <w:woUserID w:val="1"/>
        </w:rPr>
        <w:t>2、</w:t>
      </w:r>
      <w:r>
        <w:rPr>
          <w:woUserID w:val="1"/>
        </w:rPr>
        <w:t>类似于置信区间的定义。99%置信度一定比95％要好吗，为什么？（可以用精确度、准确度来回答）</w:t>
      </w:r>
    </w:p>
    <w:p>
      <w:pPr>
        <w:numPr>
          <w:ilvl w:val="0"/>
          <w:numId w:val="0"/>
        </w:numPr>
        <w:ind w:leftChars="0"/>
        <w:rPr>
          <w:rFonts w:hint="eastAsia"/>
          <w:color w:val="0000FF"/>
          <w:woUserID w:val="1"/>
        </w:rPr>
      </w:pPr>
      <w:r>
        <w:rPr>
          <w:rFonts w:hint="eastAsia"/>
          <w:color w:val="0000FF"/>
          <w:woUserID w:val="1"/>
        </w:rPr>
        <w:t>1）总体均数的置信区间定义：置信区间是指根据样本统计量计算出有（1-a）把</w:t>
      </w:r>
    </w:p>
    <w:p>
      <w:pPr>
        <w:numPr>
          <w:ilvl w:val="0"/>
          <w:numId w:val="0"/>
        </w:numPr>
        <w:ind w:leftChars="0"/>
        <w:rPr>
          <w:rFonts w:hint="eastAsia"/>
          <w:color w:val="0000FF"/>
          <w:woUserID w:val="1"/>
        </w:rPr>
      </w:pPr>
      <w:r>
        <w:rPr>
          <w:rFonts w:hint="eastAsia"/>
          <w:color w:val="0000FF"/>
          <w:woUserID w:val="1"/>
        </w:rPr>
        <w:t>握包含总体参数的一个数值范围，通常记为：估计值＋误差范围。估计值是指对</w:t>
      </w:r>
    </w:p>
    <w:p>
      <w:pPr>
        <w:numPr>
          <w:ilvl w:val="0"/>
          <w:numId w:val="0"/>
        </w:numPr>
        <w:ind w:leftChars="0"/>
        <w:rPr>
          <w:rFonts w:hint="eastAsia"/>
          <w:color w:val="0000FF"/>
          <w:woUserID w:val="1"/>
        </w:rPr>
      </w:pPr>
      <w:r>
        <w:rPr>
          <w:rFonts w:hint="eastAsia"/>
          <w:color w:val="0000FF"/>
          <w:woUserID w:val="1"/>
        </w:rPr>
        <w:t>未知总体参数的推测，误差范围与估计值的变异程度有关，反映了估计的精确程</w:t>
      </w:r>
    </w:p>
    <w:p>
      <w:pPr>
        <w:numPr>
          <w:ilvl w:val="0"/>
          <w:numId w:val="0"/>
        </w:numPr>
        <w:ind w:leftChars="0"/>
        <w:rPr>
          <w:rFonts w:hint="eastAsia"/>
          <w:color w:val="0000FF"/>
          <w:woUserID w:val="1"/>
        </w:rPr>
      </w:pPr>
      <w:r>
        <w:rPr>
          <w:rFonts w:hint="eastAsia"/>
          <w:color w:val="0000FF"/>
          <w:woUserID w:val="1"/>
        </w:rPr>
        <w:t>度。(6 分）对于总体均数的置信区间来说，样本统计量是指的样本均数，总体参</w:t>
      </w:r>
    </w:p>
    <w:p>
      <w:pPr>
        <w:numPr>
          <w:ilvl w:val="0"/>
          <w:numId w:val="0"/>
        </w:numPr>
        <w:ind w:leftChars="0"/>
        <w:rPr>
          <w:rFonts w:hint="eastAsia"/>
          <w:color w:val="0000FF"/>
          <w:woUserID w:val="1"/>
        </w:rPr>
      </w:pPr>
      <w:r>
        <w:rPr>
          <w:rFonts w:hint="eastAsia"/>
          <w:color w:val="0000FF"/>
          <w:woUserID w:val="1"/>
        </w:rPr>
        <w:t>数是指的总体均数。</w:t>
      </w:r>
    </w:p>
    <w:p>
      <w:pPr>
        <w:numPr>
          <w:ilvl w:val="0"/>
          <w:numId w:val="0"/>
        </w:numPr>
        <w:ind w:leftChars="0"/>
        <w:rPr>
          <w:rFonts w:hint="eastAsia"/>
          <w:color w:val="0000FF"/>
          <w:woUserID w:val="1"/>
        </w:rPr>
      </w:pPr>
      <w:r>
        <w:rPr>
          <w:rFonts w:hint="eastAsia"/>
          <w:color w:val="0000FF"/>
          <w:woUserID w:val="1"/>
        </w:rPr>
        <w:t>(2）这种说法不正确。因为置信区间不仅受置信度（准确度）影响，还受精确</w:t>
      </w:r>
    </w:p>
    <w:p>
      <w:pPr>
        <w:numPr>
          <w:ilvl w:val="0"/>
          <w:numId w:val="0"/>
        </w:numPr>
        <w:ind w:leftChars="0"/>
        <w:rPr>
          <w:rFonts w:hint="eastAsia"/>
          <w:color w:val="0000FF"/>
          <w:woUserID w:val="1"/>
        </w:rPr>
      </w:pPr>
      <w:r>
        <w:rPr>
          <w:rFonts w:hint="eastAsia"/>
          <w:color w:val="0000FF"/>
          <w:woUserID w:val="1"/>
        </w:rPr>
        <w:t>度（置信区间的宽度）影响，较高的置信水平并不意味着更好的结果。置信区间</w:t>
      </w:r>
    </w:p>
    <w:p>
      <w:pPr>
        <w:numPr>
          <w:ilvl w:val="0"/>
          <w:numId w:val="0"/>
        </w:numPr>
        <w:ind w:leftChars="0"/>
        <w:rPr>
          <w:rFonts w:hint="eastAsia"/>
          <w:color w:val="0000FF"/>
          <w:woUserID w:val="1"/>
        </w:rPr>
      </w:pPr>
      <w:r>
        <w:rPr>
          <w:rFonts w:hint="eastAsia"/>
          <w:color w:val="0000FF"/>
          <w:woUserID w:val="1"/>
        </w:rPr>
        <w:t>的宽度与置信水平呈正相关关系，因此 99％置信水平下的置信区间会比 95％置</w:t>
      </w:r>
    </w:p>
    <w:p>
      <w:pPr>
        <w:numPr>
          <w:ilvl w:val="0"/>
          <w:numId w:val="0"/>
        </w:numPr>
        <w:ind w:leftChars="0"/>
        <w:rPr>
          <w:rFonts w:hint="eastAsia"/>
          <w:color w:val="0000FF"/>
          <w:woUserID w:val="1"/>
        </w:rPr>
      </w:pPr>
      <w:r>
        <w:rPr>
          <w:rFonts w:hint="eastAsia"/>
          <w:color w:val="0000FF"/>
          <w:woUserID w:val="1"/>
        </w:rPr>
        <w:t>信水平下的置信区间更宽，可能会损失一些精确度。因此，并非总是更高的置信</w:t>
      </w:r>
    </w:p>
    <w:p>
      <w:pPr>
        <w:numPr>
          <w:ilvl w:val="0"/>
          <w:numId w:val="0"/>
        </w:numPr>
        <w:ind w:leftChars="0"/>
        <w:rPr>
          <w:rFonts w:hint="eastAsia"/>
          <w:color w:val="0000FF"/>
          <w:woUserID w:val="1"/>
        </w:rPr>
      </w:pPr>
      <w:r>
        <w:rPr>
          <w:rFonts w:hint="eastAsia"/>
          <w:color w:val="0000FF"/>
          <w:woUserID w:val="1"/>
        </w:rPr>
        <w:t>水平更好。(9 分）或者(2）准确度与精确度的关系 当用区间估计的方法估计未</w:t>
      </w:r>
    </w:p>
    <w:p>
      <w:pPr>
        <w:numPr>
          <w:ilvl w:val="0"/>
          <w:numId w:val="0"/>
        </w:numPr>
        <w:ind w:leftChars="0"/>
        <w:rPr>
          <w:rFonts w:hint="eastAsia"/>
          <w:color w:val="0000FF"/>
          <w:woUserID w:val="1"/>
        </w:rPr>
      </w:pPr>
      <w:r>
        <w:rPr>
          <w:rFonts w:hint="eastAsia"/>
          <w:color w:val="0000FF"/>
          <w:woUserID w:val="1"/>
        </w:rPr>
        <w:t>知参数时，一方面我们希望建立的置信区间能以很大的概率包含进未知参数(3</w:t>
      </w:r>
    </w:p>
    <w:p>
      <w:pPr>
        <w:numPr>
          <w:ilvl w:val="0"/>
          <w:numId w:val="0"/>
        </w:numPr>
        <w:ind w:leftChars="0"/>
        <w:rPr>
          <w:rFonts w:hint="eastAsia"/>
          <w:color w:val="0000FF"/>
          <w:woUserID w:val="1"/>
        </w:rPr>
      </w:pPr>
      <w:r>
        <w:rPr>
          <w:rFonts w:hint="eastAsia"/>
          <w:color w:val="0000FF"/>
          <w:woUserID w:val="1"/>
        </w:rPr>
        <w:t>分），另一方面又希望这个区间不能太宽（3 分），区间越宽说明估计的精确度越</w:t>
      </w:r>
    </w:p>
    <w:p>
      <w:pPr>
        <w:numPr>
          <w:ilvl w:val="0"/>
          <w:numId w:val="0"/>
        </w:numPr>
        <w:ind w:leftChars="0"/>
        <w:rPr>
          <w:rFonts w:hint="eastAsia"/>
          <w:color w:val="0000FF"/>
          <w:woUserID w:val="1"/>
        </w:rPr>
      </w:pPr>
      <w:r>
        <w:rPr>
          <w:rFonts w:hint="eastAsia"/>
          <w:color w:val="0000FF"/>
          <w:woUserID w:val="1"/>
        </w:rPr>
        <w:t>低。总体均数的置信区间由两个要素来衡量。第一个要素是准确度，反映置信度</w:t>
      </w:r>
    </w:p>
    <w:p>
      <w:pPr>
        <w:numPr>
          <w:ilvl w:val="0"/>
          <w:numId w:val="0"/>
        </w:numPr>
        <w:ind w:leftChars="0"/>
        <w:rPr>
          <w:rFonts w:hint="eastAsia"/>
          <w:color w:val="0000FF"/>
          <w:woUserID w:val="1"/>
        </w:rPr>
      </w:pPr>
      <w:r>
        <w:rPr>
          <w:rFonts w:hint="eastAsia"/>
          <w:color w:val="0000FF"/>
          <w:woUserID w:val="1"/>
        </w:rPr>
        <w:t>（1-a）的大小，即置信区间包含总体均数的概率（3 分），若单纯考虑准确度，</w:t>
      </w:r>
    </w:p>
    <w:p>
      <w:pPr>
        <w:numPr>
          <w:ilvl w:val="0"/>
          <w:numId w:val="0"/>
        </w:numPr>
        <w:ind w:leftChars="0"/>
        <w:rPr>
          <w:rFonts w:hint="eastAsia"/>
          <w:color w:val="0000FF"/>
          <w:woUserID w:val="1"/>
        </w:rPr>
      </w:pPr>
      <w:r>
        <w:rPr>
          <w:rFonts w:hint="eastAsia"/>
          <w:color w:val="0000FF"/>
          <w:woUserID w:val="1"/>
        </w:rPr>
        <w:t>当然（1-a）越接近 1 越好。例如，对于同一份资料，就准确度而言，99％的置信</w:t>
      </w:r>
    </w:p>
    <w:p>
      <w:pPr>
        <w:numPr>
          <w:ilvl w:val="0"/>
          <w:numId w:val="0"/>
        </w:numPr>
        <w:ind w:leftChars="0"/>
        <w:rPr>
          <w:rFonts w:hint="eastAsia"/>
          <w:color w:val="0000FF"/>
          <w:woUserID w:val="1"/>
        </w:rPr>
      </w:pPr>
      <w:r>
        <w:rPr>
          <w:rFonts w:hint="eastAsia"/>
          <w:color w:val="0000FF"/>
          <w:woUserID w:val="1"/>
        </w:rPr>
        <w:t>区间比 95％好。第二个要素是精确度或精密度，反映为置信区间的宽度（3 分）。</w:t>
      </w:r>
    </w:p>
    <w:p>
      <w:pPr>
        <w:numPr>
          <w:ilvl w:val="0"/>
          <w:numId w:val="0"/>
        </w:numPr>
        <w:ind w:leftChars="0"/>
        <w:rPr>
          <w:rFonts w:hint="eastAsia"/>
          <w:color w:val="0000FF"/>
          <w:woUserID w:val="1"/>
        </w:rPr>
      </w:pPr>
      <w:r>
        <w:rPr>
          <w:rFonts w:hint="eastAsia"/>
          <w:color w:val="0000FF"/>
          <w:woUserID w:val="1"/>
        </w:rPr>
        <w:t>由于置信区间的宽度与变量的变异度大小、样本例数和(1-a）的取值有关。当</w:t>
      </w:r>
    </w:p>
    <w:p>
      <w:pPr>
        <w:numPr>
          <w:ilvl w:val="0"/>
          <w:numId w:val="0"/>
        </w:numPr>
        <w:ind w:leftChars="0"/>
        <w:rPr>
          <w:rFonts w:hint="eastAsia"/>
          <w:color w:val="0000FF"/>
          <w:woUserID w:val="1"/>
        </w:rPr>
      </w:pPr>
      <w:r>
        <w:rPr>
          <w:rFonts w:hint="eastAsia"/>
          <w:color w:val="0000FF"/>
          <w:woUserID w:val="1"/>
        </w:rPr>
        <w:t>（1-a）确定后，个体变异越大，区间越宽；样本含量越小，区间越宽；反之，</w:t>
      </w:r>
    </w:p>
    <w:p>
      <w:pPr>
        <w:numPr>
          <w:ilvl w:val="0"/>
          <w:numId w:val="0"/>
        </w:numPr>
        <w:ind w:leftChars="0"/>
        <w:rPr>
          <w:rFonts w:hint="eastAsia"/>
          <w:color w:val="0000FF"/>
          <w:woUserID w:val="1"/>
        </w:rPr>
      </w:pPr>
      <w:r>
        <w:rPr>
          <w:rFonts w:hint="eastAsia"/>
          <w:color w:val="0000FF"/>
          <w:woUserID w:val="1"/>
        </w:rPr>
        <w:t>区间越窄。从精确度的角度来看，置信区间的宽度愈窄愈好。当样本含量确定后，</w:t>
      </w:r>
    </w:p>
    <w:p>
      <w:pPr>
        <w:numPr>
          <w:ilvl w:val="0"/>
          <w:numId w:val="0"/>
        </w:numPr>
        <w:ind w:leftChars="0"/>
        <w:rPr>
          <w:rFonts w:hint="eastAsia"/>
          <w:color w:val="0000FF"/>
          <w:woUserID w:val="1"/>
        </w:rPr>
      </w:pPr>
      <w:r>
        <w:rPr>
          <w:rFonts w:hint="eastAsia"/>
          <w:color w:val="0000FF"/>
          <w:woUserID w:val="1"/>
        </w:rPr>
        <w:t>准确度和精确度是相互牵制的，若提高了置信度，置信区间势必增宽，精确度会</w:t>
      </w:r>
    </w:p>
    <w:p>
      <w:pPr>
        <w:numPr>
          <w:ilvl w:val="0"/>
          <w:numId w:val="0"/>
        </w:numPr>
        <w:ind w:leftChars="0"/>
        <w:rPr>
          <w:rFonts w:hint="eastAsia"/>
          <w:color w:val="0000FF"/>
          <w:woUserID w:val="1"/>
        </w:rPr>
      </w:pPr>
      <w:r>
        <w:rPr>
          <w:rFonts w:hint="eastAsia"/>
          <w:color w:val="0000FF"/>
          <w:woUserID w:val="1"/>
        </w:rPr>
        <w:t>下降，势必降低置信区间的实用价值（3 分）。例如，对于同一份资料，95％的置</w:t>
      </w:r>
    </w:p>
    <w:p>
      <w:pPr>
        <w:numPr>
          <w:ilvl w:val="0"/>
          <w:numId w:val="0"/>
        </w:numPr>
        <w:ind w:leftChars="0"/>
        <w:rPr>
          <w:rFonts w:hint="eastAsia"/>
          <w:color w:val="0000FF"/>
          <w:woUserID w:val="1"/>
        </w:rPr>
      </w:pPr>
      <w:r>
        <w:rPr>
          <w:rFonts w:hint="eastAsia"/>
          <w:color w:val="0000FF"/>
          <w:woUserID w:val="1"/>
        </w:rPr>
        <w:t>信区间的精确度比 99％好。所以不能简单认为 99％的置信区间优于 95%置信区</w:t>
      </w:r>
    </w:p>
    <w:p>
      <w:pPr>
        <w:numPr>
          <w:ilvl w:val="0"/>
          <w:numId w:val="0"/>
        </w:numPr>
        <w:ind w:leftChars="0"/>
        <w:rPr>
          <w:rFonts w:hint="eastAsia"/>
          <w:color w:val="0000FF"/>
          <w:woUserID w:val="1"/>
        </w:rPr>
      </w:pPr>
      <w:r>
        <w:rPr>
          <w:rFonts w:hint="eastAsia"/>
          <w:color w:val="0000FF"/>
          <w:woUserID w:val="1"/>
        </w:rPr>
        <w:t>间。因此，实际工作中为了较好地兼顾准确度和精确度，一般常用 95％置信区</w:t>
      </w:r>
    </w:p>
    <w:p>
      <w:pPr>
        <w:numPr>
          <w:ilvl w:val="0"/>
          <w:numId w:val="0"/>
        </w:numPr>
        <w:ind w:leftChars="0"/>
        <w:rPr>
          <w:woUserID w:val="1"/>
        </w:rPr>
      </w:pPr>
      <w:r>
        <w:rPr>
          <w:rFonts w:hint="eastAsia"/>
          <w:color w:val="0000FF"/>
          <w:woUserID w:val="1"/>
        </w:rPr>
        <w:t>间。</w:t>
      </w:r>
    </w:p>
    <w:p>
      <w:pPr>
        <w:numPr>
          <w:ilvl w:val="0"/>
          <w:numId w:val="4"/>
        </w:numPr>
        <w:rPr>
          <w:woUserID w:val="1"/>
        </w:rPr>
      </w:pPr>
      <w:r>
        <w:rPr>
          <w:woUserID w:val="1"/>
        </w:rPr>
        <w:t>影响生物地球化学性疾病流行的因素</w:t>
      </w:r>
    </w:p>
    <w:p>
      <w:pPr>
        <w:numPr>
          <w:ilvl w:val="0"/>
          <w:numId w:val="0"/>
        </w:numPr>
        <w:rPr>
          <w:rFonts w:hint="default"/>
          <w:color w:val="0000FF"/>
          <w:woUserID w:val="1"/>
        </w:rPr>
      </w:pPr>
      <w:r>
        <w:rPr>
          <w:rFonts w:hint="default"/>
          <w:color w:val="0000FF"/>
          <w:woUserID w:val="1"/>
        </w:rPr>
        <w:t>(1）营养条件：在生物地球化学性疾病的流行区，人们生活条件和营养状况的改善，可降低流行强度 研究表明，蛋白摄入量的增加，可拮抗氟、砷等外来化学物质的毒性作用；维生素C有促进氟的排泄、拮抗氟对羟化酶的毒性作用，从而可促进体内胶原蛋白的合成。</w:t>
      </w:r>
    </w:p>
    <w:p>
      <w:pPr>
        <w:numPr>
          <w:ilvl w:val="0"/>
          <w:numId w:val="0"/>
        </w:numPr>
        <w:rPr>
          <w:rFonts w:hint="default"/>
          <w:color w:val="0000FF"/>
          <w:woUserID w:val="1"/>
        </w:rPr>
      </w:pPr>
      <w:r>
        <w:rPr>
          <w:rFonts w:hint="default"/>
          <w:color w:val="0000FF"/>
          <w:woUserID w:val="1"/>
        </w:rPr>
        <w:t>(2）生活习惯：研究氟、砷等病因元素的生物学效应时，应全面考虑经饮水、食物和空气三种介质的总摄入量，以便能更加客观、准确地评价人群外暴露水平。</w:t>
      </w:r>
    </w:p>
    <w:p>
      <w:pPr>
        <w:numPr>
          <w:ilvl w:val="0"/>
          <w:numId w:val="0"/>
        </w:numPr>
        <w:rPr>
          <w:rFonts w:hint="default"/>
          <w:color w:val="0000FF"/>
          <w:woUserID w:val="1"/>
        </w:rPr>
      </w:pPr>
      <w:r>
        <w:rPr>
          <w:rFonts w:hint="default"/>
          <w:color w:val="0000FF"/>
          <w:woUserID w:val="1"/>
        </w:rPr>
        <w:t>(3）多种元素的联合作用：高氟与低碘，高氟与低硒，高氟与高砷，低碘与低硒并存的地质环境增加了对人群健康影响的复杂性。①低硒与低碘之间有一定的协同作用，可使碘缺乏病流行强度加重。</w:t>
      </w:r>
    </w:p>
    <w:p>
      <w:pPr>
        <w:numPr>
          <w:ilvl w:val="0"/>
          <w:numId w:val="0"/>
        </w:numPr>
        <w:rPr>
          <w:rFonts w:hint="default"/>
          <w:color w:val="0000FF"/>
          <w:woUserID w:val="1"/>
        </w:rPr>
      </w:pPr>
      <w:r>
        <w:rPr>
          <w:rFonts w:hint="default"/>
          <w:color w:val="0000FF"/>
          <w:woUserID w:val="1"/>
        </w:rPr>
        <w:t>②在碘（或硒）水平过低的地区，若同时存在有高氟危害，可使人群较早出现氟中毒效应。</w:t>
      </w:r>
    </w:p>
    <w:p>
      <w:pPr>
        <w:numPr>
          <w:ilvl w:val="0"/>
          <w:numId w:val="0"/>
        </w:numPr>
        <w:rPr>
          <w:rFonts w:hint="default"/>
          <w:color w:val="0000FF"/>
          <w:woUserID w:val="1"/>
        </w:rPr>
      </w:pPr>
      <w:r>
        <w:rPr>
          <w:rFonts w:hint="default"/>
          <w:color w:val="0000FF"/>
          <w:woUserID w:val="1"/>
        </w:rPr>
        <w:t>⑧某些山区有地方性氟中毒的流行，同时存在着碘缺乏病。</w:t>
      </w:r>
    </w:p>
    <w:p>
      <w:pPr>
        <w:numPr>
          <w:ilvl w:val="0"/>
          <w:numId w:val="0"/>
        </w:numPr>
        <w:rPr>
          <w:rFonts w:hint="default"/>
          <w:color w:val="0000FF"/>
          <w:woUserID w:val="1"/>
        </w:rPr>
      </w:pPr>
      <w:r>
        <w:rPr>
          <w:rFonts w:hint="default"/>
          <w:color w:val="0000FF"/>
          <w:woUserID w:val="1"/>
        </w:rPr>
        <w:t>④在碘缺乏病流行病区，往往存在着与硒缺乏有关的大骨节病、克山病。</w:t>
      </w:r>
    </w:p>
    <w:p>
      <w:pPr>
        <w:rPr>
          <w:woUserID w:val="1"/>
        </w:rPr>
      </w:pPr>
      <w:r>
        <w:rPr>
          <w:woUserID w:val="1"/>
        </w:rPr>
        <w:t>4、中国居民膳食指南2022版</w:t>
      </w:r>
    </w:p>
    <w:p>
      <w:pPr>
        <w:rPr>
          <w:rFonts w:hint="default"/>
          <w:color w:val="0000FF"/>
          <w:woUserID w:val="1"/>
        </w:rPr>
      </w:pPr>
      <w:r>
        <w:rPr>
          <w:rFonts w:hint="default"/>
          <w:color w:val="0000FF"/>
          <w:woUserID w:val="1"/>
        </w:rPr>
        <w:t>①食物多样，合理搭配；</w:t>
      </w:r>
    </w:p>
    <w:p>
      <w:pPr>
        <w:rPr>
          <w:rFonts w:hint="default"/>
          <w:color w:val="0000FF"/>
          <w:woUserID w:val="1"/>
        </w:rPr>
      </w:pPr>
      <w:r>
        <w:rPr>
          <w:rFonts w:hint="default"/>
          <w:color w:val="0000FF"/>
          <w:woUserID w:val="1"/>
        </w:rPr>
        <w:t>②吃动平衡，健康体重；</w:t>
      </w:r>
    </w:p>
    <w:p>
      <w:pPr>
        <w:rPr>
          <w:rFonts w:hint="default"/>
          <w:color w:val="0000FF"/>
          <w:woUserID w:val="1"/>
        </w:rPr>
      </w:pPr>
      <w:r>
        <w:rPr>
          <w:rFonts w:hint="default"/>
          <w:color w:val="0000FF"/>
          <w:woUserID w:val="1"/>
        </w:rPr>
        <w:t>③多吃蔬果、奶、全谷、大豆；</w:t>
      </w:r>
    </w:p>
    <w:p>
      <w:pPr>
        <w:rPr>
          <w:rFonts w:hint="default"/>
          <w:color w:val="0000FF"/>
          <w:woUserID w:val="1"/>
        </w:rPr>
      </w:pPr>
      <w:r>
        <w:rPr>
          <w:rFonts w:hint="default"/>
          <w:color w:val="0000FF"/>
          <w:woUserID w:val="1"/>
        </w:rPr>
        <w:t>④适量吃鱼、禽、蛋、瘦肉；</w:t>
      </w:r>
    </w:p>
    <w:p>
      <w:pPr>
        <w:rPr>
          <w:rFonts w:hint="default"/>
          <w:color w:val="0000FF"/>
          <w:woUserID w:val="1"/>
        </w:rPr>
      </w:pPr>
      <w:r>
        <w:rPr>
          <w:rFonts w:hint="default"/>
          <w:color w:val="0000FF"/>
          <w:woUserID w:val="1"/>
        </w:rPr>
        <w:t>⑤少盐少油，控糖限酒；</w:t>
      </w:r>
    </w:p>
    <w:p>
      <w:pPr>
        <w:rPr>
          <w:rFonts w:hint="default"/>
          <w:color w:val="0000FF"/>
          <w:woUserID w:val="1"/>
        </w:rPr>
      </w:pPr>
      <w:r>
        <w:rPr>
          <w:rFonts w:hint="default"/>
          <w:color w:val="0000FF"/>
          <w:woUserID w:val="1"/>
        </w:rPr>
        <w:t>⑥规律进餐，足量饮水；</w:t>
      </w:r>
    </w:p>
    <w:p>
      <w:pPr>
        <w:rPr>
          <w:rFonts w:hint="default"/>
          <w:color w:val="0000FF"/>
          <w:woUserID w:val="1"/>
        </w:rPr>
      </w:pPr>
      <w:r>
        <w:rPr>
          <w:rFonts w:hint="default"/>
          <w:color w:val="0000FF"/>
          <w:woUserID w:val="1"/>
        </w:rPr>
        <w:t>⑦会烹会选、会看标签；</w:t>
      </w:r>
    </w:p>
    <w:p>
      <w:pPr>
        <w:rPr>
          <w:rFonts w:hint="default"/>
          <w:color w:val="0000FF"/>
          <w:woUserID w:val="1"/>
        </w:rPr>
      </w:pPr>
      <w:r>
        <w:rPr>
          <w:rFonts w:hint="default"/>
          <w:color w:val="0000FF"/>
          <w:woUserID w:val="1"/>
        </w:rPr>
        <w:t>⑧公筷分餐，杜绝浪费。</w:t>
      </w:r>
    </w:p>
    <w:p>
      <w:pPr>
        <w:rPr>
          <w:woUserID w:val="1"/>
        </w:rPr>
      </w:pPr>
      <w:r>
        <w:rPr>
          <w:woUserID w:val="1"/>
        </w:rPr>
        <w:t>5、硅肺的诊断原则和方法和诊断标准</w:t>
      </w:r>
    </w:p>
    <w:p>
      <w:pPr>
        <w:rPr>
          <w:rFonts w:hint="default"/>
          <w:color w:val="0000FF"/>
          <w:woUserID w:val="1"/>
        </w:rPr>
      </w:pPr>
      <w:r>
        <w:rPr>
          <w:rFonts w:hint="default"/>
          <w:color w:val="0000FF"/>
          <w:woUserID w:val="1"/>
        </w:rPr>
        <w:t>(1）诊断原则和方法：根据可靠的生产性粉尘接触史，现场劳动卫生学调查资料，以技术质量合格的X线高仟伏或数字化摄影（DR）后前位胸片表现作为主要依据，结合工作场所职业卫生学、尘肺流行病学调查资料和职业健康监护资料，参考临床表现和实验室检查 排除其他肺部类似疾病后，对照尘肺诊断标准片作出尘肺病的诊断和X线分期，</w:t>
      </w:r>
    </w:p>
    <w:p>
      <w:pPr>
        <w:rPr>
          <w:rFonts w:hint="default"/>
          <w:color w:val="0000FF"/>
          <w:woUserID w:val="1"/>
        </w:rPr>
      </w:pPr>
      <w:r>
        <w:rPr>
          <w:rFonts w:hint="default"/>
          <w:color w:val="0000FF"/>
          <w:woUserID w:val="1"/>
        </w:rPr>
        <w:t>(2）诊断标准：</w:t>
      </w:r>
    </w:p>
    <w:p>
      <w:pPr>
        <w:rPr>
          <w:rFonts w:hint="default"/>
          <w:color w:val="0000FF"/>
          <w:woUserID w:val="1"/>
        </w:rPr>
      </w:pPr>
      <w:r>
        <w:rPr>
          <w:rFonts w:hint="default"/>
          <w:color w:val="0000FF"/>
          <w:woUserID w:val="1"/>
        </w:rPr>
        <w:t>①尘肺一期：有下列表现之一者：</w:t>
      </w:r>
    </w:p>
    <w:p>
      <w:pPr>
        <w:rPr>
          <w:rFonts w:hint="default"/>
          <w:color w:val="0000FF"/>
          <w:woUserID w:val="1"/>
        </w:rPr>
      </w:pPr>
      <w:r>
        <w:rPr>
          <w:rFonts w:hint="default"/>
          <w:color w:val="0000FF"/>
          <w:woUserID w:val="1"/>
        </w:rPr>
        <w:t>a．有总体密集度1级的小阴影，分布范围至少达到2个肺区。</w:t>
      </w:r>
    </w:p>
    <w:p>
      <w:pPr>
        <w:rPr>
          <w:rFonts w:hint="default"/>
          <w:color w:val="0000FF"/>
          <w:woUserID w:val="1"/>
        </w:rPr>
      </w:pPr>
      <w:r>
        <w:rPr>
          <w:rFonts w:hint="default"/>
          <w:color w:val="0000FF"/>
          <w:woUserID w:val="1"/>
        </w:rPr>
        <w:t>b．接触石棉粉尘，有总体密集度1级的小阴影，分布范围只有1个肺区，同时出现胸膜斑。</w:t>
      </w:r>
    </w:p>
    <w:p>
      <w:pPr>
        <w:rPr>
          <w:rFonts w:hint="default"/>
          <w:color w:val="0000FF"/>
          <w:woUserID w:val="1"/>
        </w:rPr>
      </w:pPr>
      <w:r>
        <w:rPr>
          <w:rFonts w:hint="default"/>
          <w:color w:val="0000FF"/>
          <w:woUserID w:val="1"/>
        </w:rPr>
        <w:t>c．接触石棉粉尘，小阴影总体密集度为0，但至少有两个肺区小阴影密集度为0/1，同时出现胸膜斑。</w:t>
      </w:r>
    </w:p>
    <w:p>
      <w:pPr>
        <w:rPr>
          <w:rFonts w:hint="default"/>
          <w:color w:val="0000FF"/>
          <w:woUserID w:val="1"/>
        </w:rPr>
      </w:pPr>
      <w:r>
        <w:rPr>
          <w:rFonts w:hint="default"/>
          <w:color w:val="0000FF"/>
          <w:woUserID w:val="1"/>
        </w:rPr>
        <w:t>②尘肺二期：有下列表现之一者：</w:t>
      </w:r>
    </w:p>
    <w:p>
      <w:pPr>
        <w:rPr>
          <w:rFonts w:hint="default"/>
          <w:color w:val="0000FF"/>
          <w:woUserID w:val="1"/>
        </w:rPr>
      </w:pPr>
      <w:r>
        <w:rPr>
          <w:rFonts w:hint="default"/>
          <w:color w:val="0000FF"/>
          <w:woUserID w:val="1"/>
        </w:rPr>
        <w:t>a．有总体密集度2级的小阴影，分布范围超过4个肺区。</w:t>
      </w:r>
    </w:p>
    <w:p>
      <w:pPr>
        <w:rPr>
          <w:rFonts w:hint="default"/>
          <w:color w:val="0000FF"/>
          <w:woUserID w:val="1"/>
        </w:rPr>
      </w:pPr>
      <w:r>
        <w:rPr>
          <w:rFonts w:hint="default"/>
          <w:color w:val="0000FF"/>
          <w:woUserID w:val="1"/>
        </w:rPr>
        <w:t>b．有总体密集度 3 级的小阴影，分布范围达到</w:t>
      </w:r>
      <w:r>
        <w:rPr>
          <w:rFonts w:hint="eastAsia"/>
          <w:color w:val="0000FF"/>
          <w:lang w:val="en-US" w:eastAsia="zh-CN"/>
          <w:woUserID w:val="1"/>
        </w:rPr>
        <w:t>4</w:t>
      </w:r>
      <w:r>
        <w:rPr>
          <w:rFonts w:hint="default"/>
          <w:color w:val="0000FF"/>
          <w:woUserID w:val="1"/>
        </w:rPr>
        <w:t>个肺区。</w:t>
      </w:r>
    </w:p>
    <w:p>
      <w:pPr>
        <w:rPr>
          <w:rFonts w:hint="default"/>
          <w:color w:val="0000FF"/>
          <w:woUserID w:val="1"/>
        </w:rPr>
      </w:pPr>
      <w:r>
        <w:rPr>
          <w:rFonts w:hint="default"/>
          <w:color w:val="0000FF"/>
          <w:woUserID w:val="1"/>
        </w:rPr>
        <w:t>c．接触石棉粉尘，有总体密集度1级的小阴影，分布范围超过4个肺区，同时出现胸膜斑并已累及部分心缘或膈面。</w:t>
      </w:r>
    </w:p>
    <w:p>
      <w:pPr>
        <w:rPr>
          <w:rFonts w:hint="default"/>
          <w:color w:val="0000FF"/>
          <w:woUserID w:val="1"/>
        </w:rPr>
      </w:pPr>
      <w:r>
        <w:rPr>
          <w:rFonts w:hint="default"/>
          <w:color w:val="0000FF"/>
          <w:woUserID w:val="1"/>
        </w:rPr>
        <w:t>d．接触石棉粉尘，有总体密集度2级的小阴影，分布范围达到4个肺区，同时出现胸膜斑并已累及部分心緣或膈面。</w:t>
      </w:r>
    </w:p>
    <w:p>
      <w:pPr>
        <w:rPr>
          <w:rFonts w:hint="default"/>
          <w:color w:val="0000FF"/>
          <w:woUserID w:val="1"/>
        </w:rPr>
      </w:pPr>
      <w:r>
        <w:rPr>
          <w:rFonts w:hint="eastAsia"/>
          <w:color w:val="0000FF"/>
          <w:lang w:val="en-US" w:eastAsia="zh-CN"/>
          <w:woUserID w:val="1"/>
        </w:rPr>
        <w:t>③</w:t>
      </w:r>
      <w:r>
        <w:rPr>
          <w:rFonts w:hint="default"/>
          <w:color w:val="0000FF"/>
          <w:woUserID w:val="1"/>
        </w:rPr>
        <w:t>尘肺三期：有下列表现之一者：</w:t>
      </w:r>
    </w:p>
    <w:p>
      <w:pPr>
        <w:rPr>
          <w:rFonts w:hint="default"/>
          <w:color w:val="0000FF"/>
          <w:woUserID w:val="1"/>
        </w:rPr>
      </w:pPr>
      <w:r>
        <w:rPr>
          <w:rFonts w:hint="eastAsia"/>
          <w:color w:val="0000FF"/>
          <w:lang w:val="en-US" w:eastAsia="zh-CN"/>
          <w:woUserID w:val="1"/>
        </w:rPr>
        <w:t>A.</w:t>
      </w:r>
      <w:r>
        <w:rPr>
          <w:rFonts w:hint="default"/>
          <w:color w:val="0000FF"/>
          <w:woUserID w:val="1"/>
        </w:rPr>
        <w:t>有</w:t>
      </w:r>
      <w:r>
        <w:rPr>
          <w:rFonts w:hint="eastAsia"/>
          <w:color w:val="0000FF"/>
          <w:lang w:val="en-US" w:eastAsia="zh-CN"/>
          <w:woUserID w:val="1"/>
        </w:rPr>
        <w:t>大</w:t>
      </w:r>
      <w:r>
        <w:rPr>
          <w:rFonts w:hint="default"/>
          <w:color w:val="0000FF"/>
          <w:woUserID w:val="1"/>
        </w:rPr>
        <w:t>阴影出现，其长径不小于20mm，短径大于10mm。</w:t>
      </w:r>
    </w:p>
    <w:p>
      <w:pPr>
        <w:rPr>
          <w:rFonts w:hint="default"/>
          <w:color w:val="0000FF"/>
          <w:woUserID w:val="1"/>
        </w:rPr>
      </w:pPr>
      <w:r>
        <w:rPr>
          <w:rFonts w:hint="default"/>
          <w:color w:val="0000FF"/>
          <w:woUserID w:val="1"/>
        </w:rPr>
        <w:t>b．有总体密集度为3级的小阴影，分布范围超过4个肺区并有小阴影聚集。</w:t>
      </w:r>
    </w:p>
    <w:p>
      <w:pPr>
        <w:rPr>
          <w:rFonts w:hint="default"/>
          <w:color w:val="0000FF"/>
          <w:woUserID w:val="1"/>
        </w:rPr>
      </w:pPr>
      <w:r>
        <w:rPr>
          <w:rFonts w:hint="default"/>
          <w:color w:val="0000FF"/>
          <w:woUserID w:val="1"/>
        </w:rPr>
        <w:t>c．有总体密集度为3级的小阴影，分布范围超过4个肺区并有大阴影。</w:t>
      </w:r>
    </w:p>
    <w:p>
      <w:pPr>
        <w:rPr>
          <w:rFonts w:hint="default"/>
          <w:color w:val="0000FF"/>
          <w:woUserID w:val="1"/>
        </w:rPr>
      </w:pPr>
      <w:r>
        <w:rPr>
          <w:rFonts w:hint="default"/>
          <w:color w:val="0000FF"/>
          <w:woUserID w:val="1"/>
        </w:rPr>
        <w:t>d．接触石棉粉尘，有总体密集度3级的小阴影，分布范围超过4个肺区，同时单个或两侧多个胸膜斑长度之和超过单侧胸壁长度的二分之一或累及心缘使其部分显示蓬乱。</w:t>
      </w:r>
    </w:p>
    <w:p>
      <w:pPr>
        <w:rPr>
          <w:rFonts w:hint="default"/>
          <w:woUserID w:val="1"/>
        </w:rPr>
      </w:pPr>
      <w:r>
        <w:rPr>
          <w:rFonts w:hint="default"/>
          <w:woUserID w:val="1"/>
        </w:rPr>
        <w:t>三、论述题（每题25分，共125分）</w:t>
      </w:r>
    </w:p>
    <w:p>
      <w:pPr>
        <w:rPr>
          <w:rFonts w:hint="default"/>
          <w:woUserID w:val="1"/>
        </w:rPr>
      </w:pPr>
      <w:r>
        <w:rPr>
          <w:rFonts w:hint="default"/>
          <w:woUserID w:val="1"/>
        </w:rPr>
        <w:t>1、公共卫生监测的目的和应用</w:t>
      </w:r>
    </w:p>
    <w:p>
      <w:pPr>
        <w:rPr>
          <w:rFonts w:hint="eastAsia"/>
          <w:color w:val="0000FF"/>
          <w:lang w:val="en-US" w:eastAsia="zh-CN"/>
          <w:woUserID w:val="1"/>
        </w:rPr>
      </w:pPr>
      <w:r>
        <w:rPr>
          <w:rFonts w:hint="eastAsia"/>
          <w:color w:val="0000FF"/>
          <w:lang w:val="en-US" w:eastAsia="zh-CN"/>
          <w:woUserID w:val="1"/>
        </w:rPr>
        <w:t>目的</w:t>
      </w:r>
    </w:p>
    <w:p>
      <w:pPr>
        <w:rPr>
          <w:rFonts w:hint="default"/>
          <w:color w:val="0000FF"/>
          <w:woUserID w:val="1"/>
        </w:rPr>
      </w:pPr>
      <w:r>
        <w:rPr>
          <w:rFonts w:hint="eastAsia"/>
          <w:color w:val="0000FF"/>
          <w:lang w:val="en-US" w:eastAsia="zh-CN"/>
          <w:woUserID w:val="1"/>
        </w:rPr>
        <w:t>（1）</w:t>
      </w:r>
      <w:r>
        <w:rPr>
          <w:rFonts w:hint="default"/>
          <w:color w:val="0000FF"/>
          <w:woUserID w:val="1"/>
        </w:rPr>
        <w:t>描述与健康相关事件的分布特征和变化趋势。</w:t>
      </w:r>
    </w:p>
    <w:p>
      <w:pPr>
        <w:rPr>
          <w:rFonts w:hint="default"/>
          <w:color w:val="0000FF"/>
          <w:woUserID w:val="1"/>
        </w:rPr>
      </w:pPr>
      <w:r>
        <w:rPr>
          <w:rFonts w:hint="eastAsia"/>
          <w:color w:val="0000FF"/>
          <w:lang w:val="en-US" w:eastAsia="zh-CN"/>
          <w:woUserID w:val="1"/>
        </w:rPr>
        <w:t>①定</w:t>
      </w:r>
      <w:r>
        <w:rPr>
          <w:rFonts w:hint="default"/>
          <w:color w:val="0000FF"/>
          <w:woUserID w:val="1"/>
        </w:rPr>
        <w:t>量评估公共卫生问题的严重性，确定主要公共卫生问题。</w:t>
      </w:r>
    </w:p>
    <w:p>
      <w:pPr>
        <w:rPr>
          <w:rFonts w:hint="default"/>
          <w:color w:val="0000FF"/>
          <w:woUserID w:val="1"/>
        </w:rPr>
      </w:pPr>
      <w:r>
        <w:rPr>
          <w:rFonts w:hint="default"/>
          <w:color w:val="0000FF"/>
          <w:woUserID w:val="1"/>
        </w:rPr>
        <w:t>②发现健康相关事件分布中的异常情况，及时调查原因并采取干预措施，有效遏制不良健康事件的发展和蔓延。</w:t>
      </w:r>
    </w:p>
    <w:p>
      <w:pPr>
        <w:rPr>
          <w:rFonts w:hint="default"/>
          <w:color w:val="0000FF"/>
          <w:woUserID w:val="1"/>
        </w:rPr>
      </w:pPr>
      <w:r>
        <w:rPr>
          <w:rFonts w:hint="default"/>
          <w:color w:val="0000FF"/>
          <w:woUserID w:val="1"/>
        </w:rPr>
        <w:t>③预测健康相关事件的发展趋势，正确估让卫生服务需求。</w:t>
      </w:r>
    </w:p>
    <w:p>
      <w:pPr>
        <w:rPr>
          <w:rFonts w:hint="default"/>
          <w:color w:val="0000FF"/>
          <w:woUserID w:val="1"/>
        </w:rPr>
      </w:pPr>
      <w:r>
        <w:rPr>
          <w:rFonts w:hint="default"/>
          <w:color w:val="0000FF"/>
          <w:woUserID w:val="1"/>
        </w:rPr>
        <w:t>④研究疾病的影响因素，确定高危人群。</w:t>
      </w:r>
    </w:p>
    <w:p>
      <w:pPr>
        <w:rPr>
          <w:rFonts w:hint="default"/>
          <w:color w:val="0000FF"/>
          <w:woUserID w:val="1"/>
        </w:rPr>
      </w:pPr>
      <w:r>
        <w:rPr>
          <w:rFonts w:hint="eastAsia"/>
          <w:color w:val="0000FF"/>
          <w:lang w:eastAsia="zh-CN"/>
          <w:woUserID w:val="1"/>
        </w:rPr>
        <w:t>（</w:t>
      </w:r>
      <w:r>
        <w:rPr>
          <w:rFonts w:hint="eastAsia"/>
          <w:color w:val="0000FF"/>
          <w:lang w:val="en-US" w:eastAsia="zh-CN"/>
          <w:woUserID w:val="1"/>
        </w:rPr>
        <w:t>2</w:t>
      </w:r>
      <w:r>
        <w:rPr>
          <w:rFonts w:hint="eastAsia"/>
          <w:color w:val="0000FF"/>
          <w:lang w:eastAsia="zh-CN"/>
          <w:woUserID w:val="1"/>
        </w:rPr>
        <w:t>）</w:t>
      </w:r>
      <w:r>
        <w:rPr>
          <w:rFonts w:hint="default"/>
          <w:color w:val="0000FF"/>
          <w:woUserID w:val="1"/>
        </w:rPr>
        <w:t>评价公共卫生干预策略和措的效果：</w:t>
      </w:r>
    </w:p>
    <w:p>
      <w:pPr>
        <w:rPr>
          <w:rFonts w:hint="default"/>
          <w:color w:val="0000FF"/>
          <w:woUserID w:val="1"/>
        </w:rPr>
      </w:pPr>
      <w:r>
        <w:rPr>
          <w:rFonts w:hint="default"/>
          <w:color w:val="0000FF"/>
          <w:woUserID w:val="1"/>
        </w:rPr>
        <w:t>由于公共卫生监测是连续、系统地进行观察，因此，疾病或相关事件的变化趋势可以为干预策略和措施的效果评价提供最直接和最可靠的依据。</w:t>
      </w:r>
    </w:p>
    <w:p>
      <w:pPr>
        <w:rPr>
          <w:rFonts w:hint="default"/>
          <w:color w:val="0000FF"/>
          <w:woUserID w:val="1"/>
        </w:rPr>
      </w:pPr>
      <w:r>
        <w:rPr>
          <w:rFonts w:hint="default"/>
          <w:color w:val="0000FF"/>
          <w:woUserID w:val="1"/>
        </w:rPr>
        <w:t>应用</w:t>
      </w:r>
    </w:p>
    <w:p>
      <w:pPr>
        <w:rPr>
          <w:rFonts w:hint="default"/>
          <w:color w:val="0000FF"/>
          <w:woUserID w:val="1"/>
        </w:rPr>
      </w:pPr>
      <w:r>
        <w:rPr>
          <w:rFonts w:hint="default"/>
          <w:color w:val="0000FF"/>
          <w:woUserID w:val="1"/>
        </w:rPr>
        <w:t>(1）确认一个或多个案例并进行干预，以便预防传染或者减少发病率和死亡率。</w:t>
      </w:r>
    </w:p>
    <w:p>
      <w:pPr>
        <w:rPr>
          <w:rFonts w:hint="default"/>
          <w:color w:val="0000FF"/>
          <w:woUserID w:val="1"/>
        </w:rPr>
      </w:pPr>
      <w:r>
        <w:rPr>
          <w:rFonts w:hint="default"/>
          <w:color w:val="0000FF"/>
          <w:woUserID w:val="1"/>
        </w:rPr>
        <w:t>(2）评价 卫生事件对公共卫生的影响或判断和测定它的趋势。</w:t>
      </w:r>
    </w:p>
    <w:p>
      <w:pPr>
        <w:rPr>
          <w:rFonts w:hint="default"/>
          <w:color w:val="0000FF"/>
          <w:woUserID w:val="1"/>
        </w:rPr>
      </w:pPr>
      <w:r>
        <w:rPr>
          <w:rFonts w:hint="default"/>
          <w:color w:val="0000FF"/>
          <w:woUserID w:val="1"/>
        </w:rPr>
        <w:t>(3）论证公共卫生干预项目和资源的需要，并在制定的公共卫生计划中合理地分配资源</w:t>
      </w:r>
    </w:p>
    <w:p>
      <w:pPr>
        <w:rPr>
          <w:rFonts w:hint="default"/>
          <w:color w:val="0000FF"/>
          <w:woUserID w:val="1"/>
        </w:rPr>
      </w:pPr>
      <w:r>
        <w:rPr>
          <w:rFonts w:hint="default"/>
          <w:color w:val="0000FF"/>
          <w:woUserID w:val="1"/>
        </w:rPr>
        <w:t>(4）监测预防和控制方法及干预措施的有效性</w:t>
      </w:r>
    </w:p>
    <w:p>
      <w:pPr>
        <w:rPr>
          <w:rFonts w:hint="default"/>
          <w:color w:val="0000FF"/>
          <w:woUserID w:val="1"/>
        </w:rPr>
      </w:pPr>
      <w:r>
        <w:rPr>
          <w:rFonts w:hint="default"/>
          <w:color w:val="0000FF"/>
          <w:woUserID w:val="1"/>
        </w:rPr>
        <w:t>(5）辨析高风险人群和地理区域以便进行干预和指导分析研究。</w:t>
      </w:r>
    </w:p>
    <w:p>
      <w:pPr>
        <w:rPr>
          <w:rFonts w:hint="default"/>
          <w:color w:val="0000FF"/>
          <w:woUserID w:val="1"/>
        </w:rPr>
      </w:pPr>
      <w:r>
        <w:rPr>
          <w:rFonts w:hint="default"/>
          <w:color w:val="0000FF"/>
          <w:woUserID w:val="1"/>
        </w:rPr>
        <w:t>(6）建立假说，引导疾病发生的原因、传播和进展的危险因素的分析性研究。</w:t>
      </w:r>
    </w:p>
    <w:p>
      <w:pPr>
        <w:rPr>
          <w:rFonts w:hint="default"/>
          <w:color w:val="0000FF"/>
          <w:woUserID w:val="1"/>
        </w:rPr>
      </w:pPr>
      <w:r>
        <w:rPr>
          <w:rFonts w:hint="default"/>
          <w:woUserID w:val="1"/>
        </w:rPr>
        <w:t>2、两个总体均数的比较的一个计算题，</w:t>
      </w:r>
      <w:r>
        <w:rPr>
          <w:rFonts w:hint="default"/>
          <w:color w:val="0000FF"/>
          <w:woUserID w:val="1"/>
        </w:rPr>
        <w:t>可以从t检验和秩和检验两方面思考，用t检验的概率更大</w:t>
      </w:r>
    </w:p>
    <w:p>
      <w:pPr>
        <w:rPr>
          <w:rFonts w:hint="default"/>
          <w:color w:val="0000FF"/>
          <w:vertAlign w:val="baseline"/>
          <w:woUserID w:val="1"/>
        </w:rPr>
      </w:pPr>
      <w:r>
        <w:rPr>
          <w:rFonts w:hint="default"/>
          <w:color w:val="0000FF"/>
          <w:woUserID w:val="1"/>
        </w:rPr>
        <w:drawing>
          <wp:inline distT="0" distB="0" distL="114300" distR="114300">
            <wp:extent cx="5265420" cy="2786380"/>
            <wp:effectExtent l="0" t="0" r="1143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5420" cy="2786380"/>
                    </a:xfrm>
                    <a:prstGeom prst="rect">
                      <a:avLst/>
                    </a:prstGeom>
                  </pic:spPr>
                </pic:pic>
              </a:graphicData>
            </a:graphic>
          </wp:inline>
        </w:drawing>
      </w:r>
    </w:p>
    <w:p>
      <w:pPr>
        <w:rPr>
          <w:rFonts w:hint="default"/>
          <w:color w:val="0000FF"/>
          <w:woUserID w:val="1"/>
        </w:rPr>
      </w:pPr>
      <w:bookmarkStart w:id="0" w:name="_GoBack"/>
      <w:r>
        <w:rPr>
          <w:rFonts w:hint="default"/>
          <w:color w:val="0000FF"/>
          <w:woUserID w:val="1"/>
        </w:rPr>
        <w:drawing>
          <wp:inline distT="0" distB="0" distL="114300" distR="114300">
            <wp:extent cx="2411730" cy="8822055"/>
            <wp:effectExtent l="0" t="0" r="762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411730" cy="8822055"/>
                    </a:xfrm>
                    <a:prstGeom prst="rect">
                      <a:avLst/>
                    </a:prstGeom>
                  </pic:spPr>
                </pic:pic>
              </a:graphicData>
            </a:graphic>
          </wp:inline>
        </w:drawing>
      </w:r>
      <w:bookmarkEnd w:id="0"/>
    </w:p>
    <w:p>
      <w:pPr>
        <w:rPr>
          <w:rFonts w:hint="default"/>
          <w:woUserID w:val="1"/>
        </w:rPr>
      </w:pPr>
      <w:r>
        <w:rPr>
          <w:rFonts w:hint="default"/>
          <w:woUserID w:val="1"/>
        </w:rPr>
        <w:t>3、大气污染物污染状况的监测</w:t>
      </w:r>
    </w:p>
    <w:p>
      <w:pPr>
        <w:rPr>
          <w:rFonts w:hint="default"/>
          <w:color w:val="0000FF"/>
          <w:woUserID w:val="1"/>
        </w:rPr>
      </w:pPr>
      <w:r>
        <w:rPr>
          <w:rFonts w:hint="default"/>
          <w:color w:val="0000FF"/>
          <w:woUserID w:val="1"/>
        </w:rPr>
        <w:t>(1）采样点的选择：</w:t>
      </w:r>
    </w:p>
    <w:p>
      <w:pPr>
        <w:rPr>
          <w:rFonts w:hint="default"/>
          <w:color w:val="0000FF"/>
          <w:woUserID w:val="1"/>
        </w:rPr>
      </w:pPr>
      <w:r>
        <w:rPr>
          <w:rFonts w:hint="default"/>
          <w:color w:val="0000FF"/>
          <w:woUserID w:val="1"/>
        </w:rPr>
        <w:t>①点源污染监测：一般以污染源为中心，在其周围不同方位和不同距离的地点设置采样点，主要依据工厂的规模、有害物质的排放和排放高度、当地风向频率和具体地形，并参考烟波扩散范围、污染源与周围住宅的距离和植物生长情况来布置采样点。</w:t>
      </w:r>
    </w:p>
    <w:p>
      <w:pPr>
        <w:rPr>
          <w:rFonts w:hint="default"/>
          <w:color w:val="0000FF"/>
          <w:woUserID w:val="1"/>
        </w:rPr>
      </w:pPr>
      <w:r>
        <w:rPr>
          <w:rFonts w:hint="default"/>
          <w:color w:val="0000FF"/>
          <w:woUserID w:val="1"/>
        </w:rPr>
        <w:t>a．四周布点：以污染源为中心，划8个方位，在不同距离的同心圆上布点，并在更远的距离或其他方位设置对照点。</w:t>
      </w:r>
    </w:p>
    <w:p>
      <w:pPr>
        <w:rPr>
          <w:rFonts w:hint="default"/>
          <w:color w:val="0000FF"/>
          <w:woUserID w:val="1"/>
        </w:rPr>
      </w:pPr>
      <w:r>
        <w:rPr>
          <w:rFonts w:hint="default"/>
          <w:color w:val="0000FF"/>
          <w:woUserID w:val="1"/>
        </w:rPr>
        <w:t>b．扇形布点：在污染源常年或季节主导方向的下风侧，划3~5个方位，在不同距离上设置采样点，在上风侧适当距离设置对照点。</w:t>
      </w:r>
    </w:p>
    <w:p>
      <w:pPr>
        <w:rPr>
          <w:rFonts w:hint="default"/>
          <w:color w:val="0000FF"/>
          <w:woUserID w:val="1"/>
        </w:rPr>
      </w:pPr>
      <w:r>
        <w:rPr>
          <w:rFonts w:hint="default"/>
          <w:color w:val="0000FF"/>
          <w:woUserID w:val="1"/>
        </w:rPr>
        <w:t>c．捕捉烟波布点：随烟波变动的方向，在烟波下方不同距离采样，同时在上风侧适当距离设置对照点。</w:t>
      </w:r>
    </w:p>
    <w:p>
      <w:pPr>
        <w:rPr>
          <w:rFonts w:hint="default"/>
          <w:color w:val="0000FF"/>
          <w:woUserID w:val="1"/>
        </w:rPr>
      </w:pPr>
      <w:r>
        <w:rPr>
          <w:rFonts w:hint="default"/>
          <w:color w:val="0000FF"/>
          <w:woUserID w:val="1"/>
        </w:rPr>
        <w:t>②面源污染监测：</w:t>
      </w:r>
    </w:p>
    <w:p>
      <w:pPr>
        <w:rPr>
          <w:rFonts w:hint="default"/>
          <w:color w:val="0000FF"/>
          <w:woUserID w:val="1"/>
        </w:rPr>
      </w:pPr>
      <w:r>
        <w:rPr>
          <w:rFonts w:hint="default"/>
          <w:color w:val="0000FF"/>
          <w:woUserID w:val="1"/>
        </w:rPr>
        <w:t>a．按城市功能分'x 面点选择具有代表性的地区布点，每个类型的区域内一般设置2-3个采样点，应设置清洁对照点。</w:t>
      </w:r>
    </w:p>
    <w:p>
      <w:pPr>
        <w:rPr>
          <w:rFonts w:hint="default"/>
          <w:color w:val="0000FF"/>
          <w:woUserID w:val="1"/>
        </w:rPr>
      </w:pPr>
      <w:r>
        <w:rPr>
          <w:rFonts w:hint="default"/>
          <w:color w:val="0000FF"/>
          <w:woUserID w:val="1"/>
        </w:rPr>
        <w:t>b．几何状布点将整个监测区划分为若干个方形或三角形小格，在交叉点和小格内布点。</w:t>
      </w:r>
    </w:p>
    <w:p>
      <w:pPr>
        <w:rPr>
          <w:rFonts w:hint="default"/>
          <w:color w:val="0000FF"/>
          <w:woUserID w:val="1"/>
        </w:rPr>
      </w:pPr>
      <w:r>
        <w:rPr>
          <w:rFonts w:hint="default"/>
          <w:color w:val="0000FF"/>
          <w:woUserID w:val="1"/>
        </w:rPr>
        <w:t>c．根据污染源和人口分布以及城市地形地貌等因素布置采样点。</w:t>
      </w:r>
    </w:p>
    <w:p>
      <w:pPr>
        <w:rPr>
          <w:rFonts w:hint="default"/>
          <w:color w:val="0000FF"/>
          <w:woUserID w:val="1"/>
        </w:rPr>
      </w:pPr>
      <w:r>
        <w:rPr>
          <w:rFonts w:hint="default"/>
          <w:color w:val="0000FF"/>
          <w:woUserID w:val="1"/>
        </w:rPr>
        <w:t>③线源污染监测：针对道路交通污染的采样点，其采样设备采样口离地面的高度应在2~5米范围内，距道路边缘距离不得超过20米。</w:t>
      </w:r>
    </w:p>
    <w:p>
      <w:pPr>
        <w:rPr>
          <w:rFonts w:hint="default"/>
          <w:color w:val="0000FF"/>
          <w:woUserID w:val="1"/>
        </w:rPr>
      </w:pPr>
      <w:r>
        <w:rPr>
          <w:rFonts w:hint="default"/>
          <w:color w:val="0000FF"/>
          <w:woUserID w:val="1"/>
        </w:rPr>
        <w:t>(2）采样时间：应结合象条件的变化特征，尽量在污染物出现高、中、低浓度的时间内采集。</w:t>
      </w:r>
    </w:p>
    <w:p>
      <w:pPr>
        <w:rPr>
          <w:rFonts w:hint="default"/>
          <w:color w:val="0000FF"/>
          <w:woUserID w:val="1"/>
        </w:rPr>
      </w:pPr>
      <w:r>
        <w:rPr>
          <w:rFonts w:hint="default"/>
          <w:color w:val="0000FF"/>
          <w:woUserID w:val="1"/>
        </w:rPr>
        <w:t>①日平均浓度的测定，每日至少有20个1 小时浓度平均值或采样时间，这样测定结果能较好地反映大气污染的实际情况。</w:t>
      </w:r>
    </w:p>
    <w:p>
      <w:pPr>
        <w:rPr>
          <w:rFonts w:hint="default"/>
          <w:color w:val="0000FF"/>
          <w:woUserID w:val="1"/>
        </w:rPr>
      </w:pPr>
      <w:r>
        <w:rPr>
          <w:rFonts w:hint="default"/>
          <w:color w:val="0000FF"/>
          <w:woUserID w:val="1"/>
        </w:rPr>
        <w:t>②如果条件不容许，每天也至少应采样3次，包括大气稳定的夜间、不稳定的中午和中等稳定的早晨或黄昏。</w:t>
      </w:r>
    </w:p>
    <w:p>
      <w:pPr>
        <w:rPr>
          <w:rFonts w:hint="default"/>
          <w:color w:val="0000FF"/>
          <w:woUserID w:val="1"/>
        </w:rPr>
      </w:pPr>
      <w:r>
        <w:rPr>
          <w:rFonts w:hint="default"/>
          <w:color w:val="0000FF"/>
          <w:woUserID w:val="1"/>
        </w:rPr>
        <w:t>③如计算年平均浓度，每年至少也有 324个日平均浓度值，每月至少有 27个日平均浓度值（二月至少有25个日平均浓度值），每天的采样时间与测定日平均浓度时相同。</w:t>
      </w:r>
    </w:p>
    <w:p>
      <w:pPr>
        <w:rPr>
          <w:rFonts w:hint="default"/>
          <w:color w:val="0000FF"/>
          <w:woUserID w:val="1"/>
        </w:rPr>
      </w:pPr>
      <w:r>
        <w:rPr>
          <w:rFonts w:hint="default"/>
          <w:color w:val="0000FF"/>
          <w:woUserID w:val="1"/>
        </w:rPr>
        <w:t>(3）监测指标：选择所排放的主要污染物为监测指标。</w:t>
      </w:r>
    </w:p>
    <w:p>
      <w:pPr>
        <w:rPr>
          <w:rFonts w:hint="default"/>
          <w:color w:val="0000FF"/>
          <w:woUserID w:val="1"/>
        </w:rPr>
      </w:pPr>
      <w:r>
        <w:rPr>
          <w:rFonts w:hint="default"/>
          <w:color w:val="0000FF"/>
          <w:woUserID w:val="1"/>
        </w:rPr>
        <w:t>①对一个区域进行监测时，一般应测定SO2、PM10、PM2.5、NO2、CO和O3，还可以加测监测区域</w:t>
      </w:r>
    </w:p>
    <w:p>
      <w:pPr>
        <w:rPr>
          <w:rFonts w:hint="default"/>
          <w:color w:val="0000FF"/>
          <w:woUserID w:val="1"/>
        </w:rPr>
      </w:pPr>
      <w:r>
        <w:rPr>
          <w:rFonts w:hint="default"/>
          <w:color w:val="0000FF"/>
          <w:woUserID w:val="1"/>
        </w:rPr>
        <w:t>内的其他主要污染物。</w:t>
      </w:r>
    </w:p>
    <w:p>
      <w:pPr>
        <w:rPr>
          <w:rFonts w:hint="default"/>
          <w:color w:val="0000FF"/>
          <w:woUserID w:val="1"/>
        </w:rPr>
      </w:pPr>
      <w:r>
        <w:rPr>
          <w:rFonts w:hint="default"/>
          <w:color w:val="0000FF"/>
          <w:woUserID w:val="1"/>
        </w:rPr>
        <w:t>②对线源进行监测时，一般应测定PM2.5、NO2和CO。</w:t>
      </w:r>
    </w:p>
    <w:p>
      <w:pPr>
        <w:rPr>
          <w:rFonts w:hint="default"/>
          <w:color w:val="0000FF"/>
          <w:woUserID w:val="1"/>
        </w:rPr>
      </w:pPr>
      <w:r>
        <w:rPr>
          <w:rFonts w:hint="default"/>
          <w:color w:val="0000FF"/>
          <w:woUserID w:val="1"/>
        </w:rPr>
        <w:t>(4）采样记录：包括采样地点、采样时间、采气量、周围环境、以及天气状况和气象条件。</w:t>
      </w:r>
    </w:p>
    <w:p>
      <w:pPr>
        <w:rPr>
          <w:rFonts w:hint="default"/>
          <w:color w:val="0000FF"/>
          <w:woUserID w:val="1"/>
        </w:rPr>
      </w:pPr>
      <w:r>
        <w:rPr>
          <w:rFonts w:hint="default"/>
          <w:color w:val="0000FF"/>
          <w:woUserID w:val="1"/>
        </w:rPr>
        <w:t>(5）监测结果的分析与评价。</w:t>
      </w:r>
    </w:p>
    <w:p>
      <w:pPr>
        <w:rPr>
          <w:rFonts w:hint="default"/>
          <w:color w:val="0000FF"/>
          <w:woUserID w:val="1"/>
        </w:rPr>
      </w:pPr>
      <w:r>
        <w:rPr>
          <w:rFonts w:hint="default"/>
          <w:color w:val="0000FF"/>
          <w:woUserID w:val="1"/>
        </w:rPr>
        <w:t>①分别计算1小时平均浓度、日平均浓度和年平均浓度的均值或中位数及标准差或95％置信区间。</w:t>
      </w:r>
    </w:p>
    <w:p>
      <w:pPr>
        <w:rPr>
          <w:rFonts w:hint="default"/>
          <w:color w:val="0000FF"/>
          <w:woUserID w:val="1"/>
        </w:rPr>
      </w:pPr>
      <w:r>
        <w:rPr>
          <w:rFonts w:hint="default"/>
          <w:color w:val="0000FF"/>
          <w:woUserID w:val="1"/>
        </w:rPr>
        <w:t>②分别比较1小时平均浓度、日平均浓度和年平均浓度的最大值和最低值，并计算最大值的超标倍数。</w:t>
      </w:r>
    </w:p>
    <w:p>
      <w:pPr>
        <w:rPr>
          <w:rFonts w:hint="default"/>
          <w:color w:val="0000FF"/>
          <w:woUserID w:val="1"/>
        </w:rPr>
      </w:pPr>
      <w:r>
        <w:rPr>
          <w:rFonts w:hint="default"/>
          <w:color w:val="0000FF"/>
          <w:woUserID w:val="1"/>
        </w:rPr>
        <w:t>③分别计算1小时平均浓度、日平均浓度的超标率。</w:t>
      </w:r>
    </w:p>
    <w:p>
      <w:pPr>
        <w:rPr>
          <w:rFonts w:hint="default"/>
          <w:color w:val="0000FF"/>
          <w:woUserID w:val="1"/>
        </w:rPr>
      </w:pPr>
      <w:r>
        <w:rPr>
          <w:rFonts w:hint="default"/>
          <w:color w:val="0000FF"/>
          <w:woUserID w:val="1"/>
        </w:rPr>
        <w:t>④运用统计学方法，比较各地区和各个时期的污染状态。</w:t>
      </w:r>
    </w:p>
    <w:p>
      <w:pPr>
        <w:rPr>
          <w:rFonts w:hint="default"/>
          <w:color w:val="0000FF"/>
          <w:woUserID w:val="1"/>
        </w:rPr>
      </w:pPr>
      <w:r>
        <w:rPr>
          <w:rFonts w:hint="default"/>
          <w:color w:val="0000FF"/>
          <w:woUserID w:val="1"/>
        </w:rPr>
        <w:t>⑤计算大气环境质量指数，对环境质量进行综合评价，找出主要污染源和主要污染物。</w:t>
      </w:r>
    </w:p>
    <w:p>
      <w:pPr>
        <w:rPr>
          <w:rFonts w:hint="default"/>
          <w:color w:val="0000FF"/>
          <w:woUserID w:val="1"/>
        </w:rPr>
      </w:pPr>
      <w:r>
        <w:rPr>
          <w:rFonts w:hint="default"/>
          <w:color w:val="0000FF"/>
          <w:woUserID w:val="1"/>
        </w:rPr>
        <w:t>⑥查明影响范围和污染规律。</w:t>
      </w:r>
    </w:p>
    <w:p>
      <w:pPr>
        <w:rPr>
          <w:rFonts w:hint="default"/>
          <w:woUserID w:val="1"/>
        </w:rPr>
      </w:pPr>
      <w:r>
        <w:rPr>
          <w:rFonts w:hint="default"/>
          <w:woUserID w:val="1"/>
        </w:rPr>
        <w:t>4、防止食品腐败变质的措施</w:t>
      </w:r>
    </w:p>
    <w:p>
      <w:pPr>
        <w:rPr>
          <w:rFonts w:hint="default"/>
          <w:color w:val="0000FF"/>
          <w:woUserID w:val="1"/>
        </w:rPr>
      </w:pPr>
      <w:r>
        <w:rPr>
          <w:rFonts w:hint="default"/>
          <w:color w:val="0000FF"/>
          <w:woUserID w:val="1"/>
        </w:rPr>
        <w:t>(1）食品的化学保藏：</w:t>
      </w:r>
    </w:p>
    <w:p>
      <w:pPr>
        <w:rPr>
          <w:rFonts w:hint="default"/>
          <w:color w:val="0000FF"/>
          <w:woUserID w:val="1"/>
        </w:rPr>
      </w:pPr>
      <w:r>
        <w:rPr>
          <w:rFonts w:hint="default"/>
          <w:color w:val="0000FF"/>
          <w:woUserID w:val="1"/>
        </w:rPr>
        <w:t>①提高渗透压：使得微生物脱水死亡：盐腌法、糖渍去。</w:t>
      </w:r>
    </w:p>
    <w:p>
      <w:pPr>
        <w:rPr>
          <w:rFonts w:hint="default"/>
          <w:color w:val="0000FF"/>
          <w:woUserID w:val="1"/>
        </w:rPr>
      </w:pPr>
      <w:r>
        <w:rPr>
          <w:rFonts w:hint="default"/>
          <w:color w:val="0000FF"/>
          <w:woUserID w:val="1"/>
        </w:rPr>
        <w:t>②提高氢离子浓度：酸演法</w:t>
      </w:r>
    </w:p>
    <w:p>
      <w:pPr>
        <w:rPr>
          <w:rFonts w:hint="default"/>
          <w:color w:val="0000FF"/>
          <w:woUserID w:val="1"/>
        </w:rPr>
      </w:pPr>
      <w:r>
        <w:rPr>
          <w:rFonts w:hint="default"/>
          <w:color w:val="0000FF"/>
          <w:woUserID w:val="1"/>
        </w:rPr>
        <w:t>③使用防腐剂如苯甲酸、山梨酸、抗氧化剂等。</w:t>
      </w:r>
    </w:p>
    <w:p>
      <w:pPr>
        <w:rPr>
          <w:rFonts w:hint="default"/>
          <w:color w:val="0000FF"/>
          <w:woUserID w:val="1"/>
        </w:rPr>
      </w:pPr>
      <w:r>
        <w:rPr>
          <w:rFonts w:hint="default"/>
          <w:color w:val="0000FF"/>
          <w:woUserID w:val="1"/>
        </w:rPr>
        <w:t>(2）食品的低温保藏（降低食品的储存温度）:</w:t>
      </w:r>
    </w:p>
    <w:p>
      <w:pPr>
        <w:rPr>
          <w:rFonts w:hint="default"/>
          <w:color w:val="0000FF"/>
          <w:woUserID w:val="1"/>
        </w:rPr>
      </w:pPr>
      <w:r>
        <w:rPr>
          <w:rFonts w:hint="default"/>
          <w:color w:val="0000FF"/>
          <w:woUserID w:val="1"/>
        </w:rPr>
        <w:t>＠冷藏：-1~10℃。</w:t>
      </w:r>
    </w:p>
    <w:p>
      <w:pPr>
        <w:rPr>
          <w:rFonts w:hint="default"/>
          <w:color w:val="0000FF"/>
          <w:woUserID w:val="1"/>
        </w:rPr>
      </w:pPr>
      <w:r>
        <w:rPr>
          <w:rFonts w:hint="default"/>
          <w:color w:val="0000FF"/>
          <w:woUserID w:val="1"/>
        </w:rPr>
        <w:t>2冷冻保戴：-18℃以下，此时游离水形成冰晶体，Aw降低，渗透压升高，微生物失水死亡。</w:t>
      </w:r>
    </w:p>
    <w:p>
      <w:pPr>
        <w:numPr>
          <w:ilvl w:val="0"/>
          <w:numId w:val="5"/>
        </w:numPr>
        <w:rPr>
          <w:rFonts w:hint="default"/>
          <w:color w:val="0000FF"/>
          <w:woUserID w:val="1"/>
        </w:rPr>
      </w:pPr>
      <w:r>
        <w:rPr>
          <w:rFonts w:hint="default"/>
          <w:color w:val="0000FF"/>
          <w:woUserID w:val="1"/>
        </w:rPr>
        <w:t>食品的加热杀菌保藏：</w:t>
      </w:r>
    </w:p>
    <w:p>
      <w:pPr>
        <w:numPr>
          <w:ilvl w:val="0"/>
          <w:numId w:val="0"/>
        </w:numPr>
        <w:rPr>
          <w:rFonts w:hint="default"/>
          <w:color w:val="0000FF"/>
          <w:woUserID w:val="1"/>
        </w:rPr>
      </w:pPr>
      <w:r>
        <w:rPr>
          <w:rFonts w:hint="default"/>
          <w:color w:val="0000FF"/>
          <w:woUserID w:val="1"/>
        </w:rPr>
        <w:t>①常压杀菌：温度在100℃及以下：用于液体食物的消毒。</w:t>
      </w:r>
    </w:p>
    <w:p>
      <w:pPr>
        <w:numPr>
          <w:ilvl w:val="0"/>
          <w:numId w:val="0"/>
        </w:numPr>
        <w:rPr>
          <w:rFonts w:hint="default"/>
          <w:color w:val="0000FF"/>
          <w:woUserID w:val="1"/>
        </w:rPr>
      </w:pPr>
      <w:r>
        <w:rPr>
          <w:rFonts w:hint="default"/>
          <w:color w:val="0000FF"/>
          <w:woUserID w:val="1"/>
        </w:rPr>
        <w:t>②加压杀菌：100~121℃:0.2MPa：常用于肉制品、中酸性、低酸性的罐头杀菌。</w:t>
      </w:r>
    </w:p>
    <w:p>
      <w:pPr>
        <w:numPr>
          <w:ilvl w:val="0"/>
          <w:numId w:val="0"/>
        </w:numPr>
        <w:rPr>
          <w:rFonts w:hint="default"/>
          <w:color w:val="0000FF"/>
          <w:woUserID w:val="1"/>
        </w:rPr>
      </w:pPr>
      <w:r>
        <w:rPr>
          <w:rFonts w:hint="default"/>
          <w:color w:val="0000FF"/>
          <w:woUserID w:val="1"/>
        </w:rPr>
        <w:t>③超高温瞬时杀菌：120℃持续几秒迅速冷却到室温，通常是牛乳杀菌。</w:t>
      </w:r>
    </w:p>
    <w:p>
      <w:pPr>
        <w:numPr>
          <w:ilvl w:val="0"/>
          <w:numId w:val="0"/>
        </w:numPr>
        <w:rPr>
          <w:rFonts w:hint="default"/>
          <w:color w:val="0000FF"/>
          <w:woUserID w:val="1"/>
        </w:rPr>
      </w:pPr>
      <w:r>
        <w:rPr>
          <w:rFonts w:hint="default"/>
          <w:color w:val="0000FF"/>
          <w:woUserID w:val="1"/>
        </w:rPr>
        <w:t>④微波杀菌：915MHz适用于加热含水量高，厚度或体积较大的食品：2450MHz 适用于含水量低的食品。</w:t>
      </w:r>
    </w:p>
    <w:p>
      <w:pPr>
        <w:numPr>
          <w:ilvl w:val="0"/>
          <w:numId w:val="0"/>
        </w:numPr>
        <w:rPr>
          <w:rFonts w:hint="default"/>
          <w:color w:val="0000FF"/>
          <w:woUserID w:val="1"/>
        </w:rPr>
      </w:pPr>
      <w:r>
        <w:rPr>
          <w:rFonts w:hint="default"/>
          <w:color w:val="0000FF"/>
          <w:woUserID w:val="1"/>
        </w:rPr>
        <w:t>(4）食品的干燥脱水保藏（降低含水量）:</w:t>
      </w:r>
    </w:p>
    <w:p>
      <w:pPr>
        <w:numPr>
          <w:ilvl w:val="0"/>
          <w:numId w:val="0"/>
        </w:numPr>
        <w:rPr>
          <w:rFonts w:hint="default"/>
          <w:color w:val="0000FF"/>
          <w:woUserID w:val="1"/>
        </w:rPr>
      </w:pPr>
      <w:r>
        <w:rPr>
          <w:rFonts w:hint="default"/>
          <w:color w:val="0000FF"/>
          <w:woUserID w:val="1"/>
        </w:rPr>
        <w:t>日晒、阴干、喷雾干燥、减压蒸发、冷冻干燥。</w:t>
      </w:r>
    </w:p>
    <w:p>
      <w:pPr>
        <w:numPr>
          <w:ilvl w:val="0"/>
          <w:numId w:val="0"/>
        </w:numPr>
        <w:rPr>
          <w:rFonts w:hint="default"/>
          <w:color w:val="0000FF"/>
          <w:woUserID w:val="1"/>
        </w:rPr>
      </w:pPr>
      <w:r>
        <w:rPr>
          <w:rFonts w:hint="default"/>
          <w:color w:val="0000FF"/>
          <w:woUserID w:val="1"/>
        </w:rPr>
        <w:t>(5）食品的辐照保藏：</w:t>
      </w:r>
    </w:p>
    <w:p>
      <w:pPr>
        <w:numPr>
          <w:ilvl w:val="0"/>
          <w:numId w:val="0"/>
        </w:numPr>
        <w:rPr>
          <w:rFonts w:hint="default"/>
          <w:color w:val="0000FF"/>
          <w:woUserID w:val="1"/>
        </w:rPr>
      </w:pPr>
      <w:r>
        <w:rPr>
          <w:rFonts w:hint="default"/>
          <w:color w:val="0000FF"/>
          <w:woUserID w:val="1"/>
        </w:rPr>
        <w:t>①主要用于杀菌、灭虫、抑制蔬菜发芽，以延长食品保藏期。</w:t>
      </w:r>
    </w:p>
    <w:p>
      <w:pPr>
        <w:numPr>
          <w:ilvl w:val="0"/>
          <w:numId w:val="0"/>
        </w:numPr>
        <w:rPr>
          <w:rFonts w:hint="default"/>
          <w:color w:val="0000FF"/>
          <w:woUserID w:val="1"/>
        </w:rPr>
      </w:pPr>
      <w:r>
        <w:rPr>
          <w:rFonts w:hint="default"/>
          <w:color w:val="0000FF"/>
          <w:woUserID w:val="1"/>
        </w:rPr>
        <w:t>②辐照射线如γ射线。</w:t>
      </w:r>
    </w:p>
    <w:p>
      <w:pPr>
        <w:numPr>
          <w:ilvl w:val="0"/>
          <w:numId w:val="0"/>
        </w:numPr>
        <w:rPr>
          <w:rFonts w:hint="default"/>
          <w:color w:val="0000FF"/>
          <w:woUserID w:val="1"/>
        </w:rPr>
      </w:pPr>
      <w:r>
        <w:rPr>
          <w:rFonts w:hint="default"/>
          <w:color w:val="0000FF"/>
          <w:woUserID w:val="1"/>
        </w:rPr>
        <w:t>⑧优点：</w:t>
      </w:r>
    </w:p>
    <w:p>
      <w:pPr>
        <w:numPr>
          <w:ilvl w:val="0"/>
          <w:numId w:val="0"/>
        </w:numPr>
        <w:rPr>
          <w:rFonts w:hint="default"/>
          <w:color w:val="0000FF"/>
          <w:woUserID w:val="1"/>
        </w:rPr>
      </w:pPr>
      <w:r>
        <w:rPr>
          <w:rFonts w:hint="default"/>
          <w:color w:val="0000FF"/>
          <w:woUserID w:val="1"/>
        </w:rPr>
        <w:t>a．穿透力强，可杀灭果核深部的害虫；射线的穿透力较强，对包装材料及包装体积无特殊要求。</w:t>
      </w:r>
    </w:p>
    <w:p>
      <w:pPr>
        <w:numPr>
          <w:ilvl w:val="0"/>
          <w:numId w:val="0"/>
        </w:numPr>
        <w:rPr>
          <w:rFonts w:hint="default"/>
          <w:color w:val="0000FF"/>
          <w:woUserID w:val="1"/>
        </w:rPr>
      </w:pPr>
      <w:r>
        <w:rPr>
          <w:rFonts w:hint="default"/>
          <w:color w:val="0000FF"/>
          <w:woUserID w:val="1"/>
        </w:rPr>
        <w:t>b节省能源：加工效率高 食品辐照称为"冷加工"，在辐照过程中仅有轻微的升温。可在不解开包装的情况下照射，可成批处理，加工效率高。</w:t>
      </w:r>
    </w:p>
    <w:p>
      <w:pPr>
        <w:numPr>
          <w:ilvl w:val="0"/>
          <w:numId w:val="0"/>
        </w:numPr>
        <w:rPr>
          <w:rFonts w:hint="default"/>
          <w:color w:val="0000FF"/>
          <w:woUserID w:val="1"/>
        </w:rPr>
      </w:pPr>
      <w:r>
        <w:rPr>
          <w:rFonts w:hint="default"/>
          <w:color w:val="0000FF"/>
          <w:woUserID w:val="1"/>
        </w:rPr>
        <w:t>c．在恰当的照射剂量下：食品的感官性状及营养成分很少改变。</w:t>
      </w:r>
    </w:p>
    <w:p>
      <w:pPr>
        <w:numPr>
          <w:ilvl w:val="0"/>
          <w:numId w:val="0"/>
        </w:numPr>
        <w:rPr>
          <w:rFonts w:hint="default"/>
          <w:color w:val="0000FF"/>
          <w:woUserID w:val="1"/>
        </w:rPr>
      </w:pPr>
      <w:r>
        <w:rPr>
          <w:rFonts w:hint="default"/>
          <w:color w:val="0000FF"/>
          <w:woUserID w:val="1"/>
        </w:rPr>
        <w:t>d．没有非食品成分的残留</w:t>
      </w:r>
    </w:p>
    <w:p>
      <w:pPr>
        <w:rPr>
          <w:rFonts w:hint="default"/>
          <w:woUserID w:val="1"/>
        </w:rPr>
      </w:pPr>
      <w:r>
        <w:rPr>
          <w:rFonts w:hint="default"/>
          <w:woUserID w:val="1"/>
        </w:rPr>
        <w:t>5、光气中毒的临床表现、预防措施与治疗措施</w:t>
      </w:r>
    </w:p>
    <w:p>
      <w:pPr>
        <w:rPr>
          <w:rFonts w:hint="eastAsia"/>
          <w:color w:val="0000FF"/>
          <w:lang w:val="en-US" w:eastAsia="zh-CN"/>
          <w:woUserID w:val="1"/>
        </w:rPr>
      </w:pPr>
      <w:r>
        <w:rPr>
          <w:rFonts w:hint="eastAsia"/>
          <w:color w:val="0000FF"/>
          <w:lang w:val="en-US" w:eastAsia="zh-CN"/>
          <w:woUserID w:val="1"/>
        </w:rPr>
        <w:t>临床表现</w:t>
      </w:r>
    </w:p>
    <w:p>
      <w:pPr>
        <w:rPr>
          <w:rFonts w:hint="default"/>
          <w:color w:val="0000FF"/>
          <w:woUserID w:val="1"/>
        </w:rPr>
      </w:pPr>
      <w:r>
        <w:rPr>
          <w:rFonts w:hint="default"/>
          <w:color w:val="0000FF"/>
          <w:woUserID w:val="1"/>
        </w:rPr>
        <w:t>(1）刺激反应：在吸入光气后48h内</w:t>
      </w:r>
      <w:r>
        <w:rPr>
          <w:rFonts w:hint="eastAsia"/>
          <w:color w:val="0000FF"/>
          <w:lang w:eastAsia="zh-CN"/>
          <w:woUserID w:val="1"/>
        </w:rPr>
        <w:t>，</w:t>
      </w:r>
      <w:r>
        <w:rPr>
          <w:rFonts w:hint="default"/>
          <w:color w:val="0000FF"/>
          <w:woUserID w:val="1"/>
        </w:rPr>
        <w:t>出现一过性眼及上呼吸道黏膜刺激症状，肺部无阳性体征、X线胸片无异常改变。</w:t>
      </w:r>
    </w:p>
    <w:p>
      <w:pPr>
        <w:rPr>
          <w:rFonts w:hint="default"/>
          <w:color w:val="0000FF"/>
          <w:woUserID w:val="1"/>
        </w:rPr>
      </w:pPr>
      <w:r>
        <w:rPr>
          <w:rFonts w:hint="default"/>
          <w:color w:val="0000FF"/>
          <w:woUserID w:val="1"/>
        </w:rPr>
        <w:t>(2）轻度中毒：支气管炎或支气管周围炎。</w:t>
      </w:r>
    </w:p>
    <w:p>
      <w:pPr>
        <w:rPr>
          <w:rFonts w:hint="default"/>
          <w:color w:val="0000FF"/>
          <w:woUserID w:val="1"/>
        </w:rPr>
      </w:pPr>
      <w:r>
        <w:rPr>
          <w:rFonts w:hint="default"/>
          <w:color w:val="0000FF"/>
          <w:woUserID w:val="1"/>
        </w:rPr>
        <w:t>(3）中度中毒：经一段"假愈期"后，常引起肺水肿。</w:t>
      </w:r>
    </w:p>
    <w:p>
      <w:pPr>
        <w:rPr>
          <w:rFonts w:hint="default"/>
          <w:color w:val="0000FF"/>
          <w:woUserID w:val="1"/>
        </w:rPr>
      </w:pPr>
      <w:r>
        <w:rPr>
          <w:rFonts w:hint="default"/>
          <w:color w:val="0000FF"/>
          <w:woUserID w:val="1"/>
        </w:rPr>
        <w:t>(4）重度中毒："假愈期"持续较短，可迅速出现中毒性肺炎、非心源性肺水肿、难以纠正的低氧血症、进而发展至急性呼吸窘迫综合征（ARDS)，并可出现气胸、纵隔及皮下气肿等并发症，恢复较慢，一般宜观察1~2周，病死率较高，可达20％以上。</w:t>
      </w:r>
    </w:p>
    <w:p>
      <w:pPr>
        <w:rPr>
          <w:rFonts w:hint="default"/>
          <w:color w:val="0000FF"/>
          <w:woUserID w:val="1"/>
        </w:rPr>
      </w:pPr>
      <w:r>
        <w:rPr>
          <w:rFonts w:hint="default"/>
          <w:color w:val="0000FF"/>
          <w:woUserID w:val="1"/>
        </w:rPr>
        <w:t>预防措施</w:t>
      </w:r>
    </w:p>
    <w:p>
      <w:pPr>
        <w:rPr>
          <w:rFonts w:hint="default"/>
          <w:color w:val="0000FF"/>
          <w:woUserID w:val="1"/>
        </w:rPr>
      </w:pPr>
      <w:r>
        <w:rPr>
          <w:rFonts w:hint="default"/>
          <w:color w:val="0000FF"/>
          <w:woUserID w:val="1"/>
        </w:rPr>
        <w:t>(1）光气的制造和生产必须密闭产品采用密封包装，贮存在干燥、阴凉、通风处。</w:t>
      </w:r>
    </w:p>
    <w:p>
      <w:pPr>
        <w:rPr>
          <w:rFonts w:hint="default"/>
          <w:color w:val="0000FF"/>
          <w:woUserID w:val="1"/>
        </w:rPr>
      </w:pPr>
      <w:r>
        <w:rPr>
          <w:rFonts w:hint="default"/>
          <w:color w:val="0000FF"/>
          <w:woUserID w:val="1"/>
        </w:rPr>
        <w:t>(2）操作者应穿防护服，戴橡胶手套和氧气呼吸器或供氧式防毒面具，尽可能在上风口</w:t>
      </w:r>
    </w:p>
    <w:p>
      <w:pPr>
        <w:rPr>
          <w:rFonts w:hint="default"/>
          <w:color w:val="0000FF"/>
          <w:woUserID w:val="1"/>
        </w:rPr>
      </w:pPr>
      <w:r>
        <w:rPr>
          <w:rFonts w:hint="default"/>
          <w:color w:val="0000FF"/>
          <w:woUserID w:val="1"/>
        </w:rPr>
        <w:t>(3）含有光气的废气应用氨水或碱涩喷淋废水可用碱性物质如干石灰或苏打灰等覆盖处理。避免四氯化碳与火焰、热金属接触。</w:t>
      </w:r>
    </w:p>
    <w:p>
      <w:pPr>
        <w:rPr>
          <w:rFonts w:hint="default"/>
          <w:color w:val="0000FF"/>
          <w:woUserID w:val="1"/>
        </w:rPr>
      </w:pPr>
      <w:r>
        <w:rPr>
          <w:rFonts w:hint="default"/>
          <w:color w:val="0000FF"/>
          <w:woUserID w:val="1"/>
        </w:rPr>
        <w:t>(4)</w:t>
      </w:r>
      <w:r>
        <w:rPr>
          <w:rFonts w:hint="eastAsia"/>
          <w:color w:val="0000FF"/>
          <w:lang w:val="en-US" w:eastAsia="zh-CN"/>
          <w:woUserID w:val="1"/>
        </w:rPr>
        <w:t>工</w:t>
      </w:r>
      <w:r>
        <w:rPr>
          <w:rFonts w:hint="default"/>
          <w:color w:val="0000FF"/>
          <w:woUserID w:val="1"/>
        </w:rPr>
        <w:t>作场所空气中最高容许浓应控制在0.5mg/m3以下。</w:t>
      </w:r>
    </w:p>
    <w:p>
      <w:pPr>
        <w:rPr>
          <w:rFonts w:hint="eastAsia"/>
          <w:color w:val="0000FF"/>
          <w:lang w:val="en-US" w:eastAsia="zh-CN"/>
          <w:woUserID w:val="1"/>
        </w:rPr>
      </w:pPr>
      <w:r>
        <w:rPr>
          <w:rFonts w:hint="eastAsia"/>
          <w:color w:val="0000FF"/>
          <w:lang w:val="en-US" w:eastAsia="zh-CN"/>
          <w:woUserID w:val="1"/>
        </w:rPr>
        <w:t>治疗措施</w:t>
      </w:r>
    </w:p>
    <w:p>
      <w:pPr>
        <w:numPr>
          <w:ilvl w:val="0"/>
          <w:numId w:val="6"/>
        </w:numPr>
        <w:rPr>
          <w:rFonts w:hint="eastAsia"/>
          <w:color w:val="0000FF"/>
          <w:lang w:val="en-US" w:eastAsia="zh-CN"/>
          <w:woUserID w:val="1"/>
        </w:rPr>
      </w:pPr>
      <w:r>
        <w:rPr>
          <w:rFonts w:hint="eastAsia"/>
          <w:color w:val="0000FF"/>
          <w:lang w:val="en-US" w:eastAsia="zh-CN"/>
          <w:woUserID w:val="1"/>
        </w:rPr>
        <w:t>现场救治：迅速脱离现场至新鲜空气处，立即脱去污染的衣物。保持安静，卧床休息，注意保暖。</w:t>
      </w:r>
    </w:p>
    <w:p>
      <w:pPr>
        <w:numPr>
          <w:ilvl w:val="0"/>
          <w:numId w:val="6"/>
        </w:numPr>
        <w:rPr>
          <w:rFonts w:hint="default"/>
          <w:color w:val="0000FF"/>
          <w:lang w:val="en-US" w:eastAsia="zh-CN"/>
          <w:woUserID w:val="1"/>
        </w:rPr>
      </w:pPr>
      <w:r>
        <w:rPr>
          <w:rFonts w:hint="eastAsia"/>
          <w:color w:val="0000FF"/>
          <w:lang w:val="en-US" w:eastAsia="zh-CN"/>
          <w:woUserID w:val="1"/>
        </w:rPr>
        <w:t>防止肺水肿：早期、足量、短程使用糖皮质激素，保持呼吸道通畅，合理给氧</w:t>
      </w:r>
    </w:p>
    <w:p>
      <w:pPr>
        <w:numPr>
          <w:ilvl w:val="0"/>
          <w:numId w:val="6"/>
        </w:numPr>
        <w:rPr>
          <w:rFonts w:hint="default"/>
          <w:color w:val="0000FF"/>
          <w:lang w:val="en-US" w:eastAsia="zh-CN"/>
          <w:woUserID w:val="1"/>
        </w:rPr>
      </w:pPr>
      <w:r>
        <w:rPr>
          <w:rFonts w:hint="default"/>
          <w:color w:val="0000FF"/>
          <w:lang w:eastAsia="zh-CN"/>
          <w:woUserID w:val="1"/>
        </w:rPr>
        <w:t>对</w:t>
      </w:r>
      <w:r>
        <w:rPr>
          <w:rFonts w:hint="eastAsia"/>
          <w:color w:val="0000FF"/>
          <w:lang w:val="en-US" w:eastAsia="zh-CN"/>
          <w:woUserID w:val="1"/>
        </w:rPr>
        <w:t>急性呼吸窘迫综合症治疗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汉仪中等线KW">
    <w:panose1 w:val="01010104010101010101"/>
    <w:charset w:val="86"/>
    <w:family w:val="auto"/>
    <w:pitch w:val="default"/>
    <w:sig w:usb0="800002BF" w:usb1="004F7CFA"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462B97"/>
    <w:multiLevelType w:val="singleLevel"/>
    <w:tmpl w:val="A4462B97"/>
    <w:lvl w:ilvl="0" w:tentative="0">
      <w:start w:val="10"/>
      <w:numFmt w:val="decimal"/>
      <w:suff w:val="nothing"/>
      <w:lvlText w:val="%1、"/>
      <w:lvlJc w:val="left"/>
    </w:lvl>
  </w:abstractNum>
  <w:abstractNum w:abstractNumId="1">
    <w:nsid w:val="C16DBC68"/>
    <w:multiLevelType w:val="singleLevel"/>
    <w:tmpl w:val="C16DBC68"/>
    <w:lvl w:ilvl="0" w:tentative="0">
      <w:start w:val="3"/>
      <w:numFmt w:val="decimal"/>
      <w:suff w:val="nothing"/>
      <w:lvlText w:val="(%1）"/>
      <w:lvlJc w:val="left"/>
    </w:lvl>
  </w:abstractNum>
  <w:abstractNum w:abstractNumId="2">
    <w:nsid w:val="E16BC090"/>
    <w:multiLevelType w:val="singleLevel"/>
    <w:tmpl w:val="E16BC090"/>
    <w:lvl w:ilvl="0" w:tentative="0">
      <w:start w:val="3"/>
      <w:numFmt w:val="decimal"/>
      <w:suff w:val="nothing"/>
      <w:lvlText w:val="%1、"/>
      <w:lvlJc w:val="left"/>
    </w:lvl>
  </w:abstractNum>
  <w:abstractNum w:abstractNumId="3">
    <w:nsid w:val="4A3B5021"/>
    <w:multiLevelType w:val="singleLevel"/>
    <w:tmpl w:val="4A3B5021"/>
    <w:lvl w:ilvl="0" w:tentative="0">
      <w:start w:val="1"/>
      <w:numFmt w:val="decimal"/>
      <w:suff w:val="nothing"/>
      <w:lvlText w:val="（%1）"/>
      <w:lvlJc w:val="left"/>
    </w:lvl>
  </w:abstractNum>
  <w:abstractNum w:abstractNumId="4">
    <w:nsid w:val="4FBD4377"/>
    <w:multiLevelType w:val="singleLevel"/>
    <w:tmpl w:val="4FBD4377"/>
    <w:lvl w:ilvl="0" w:tentative="0">
      <w:start w:val="6"/>
      <w:numFmt w:val="decimal"/>
      <w:suff w:val="nothing"/>
      <w:lvlText w:val="%1、"/>
      <w:lvlJc w:val="left"/>
    </w:lvl>
  </w:abstractNum>
  <w:abstractNum w:abstractNumId="5">
    <w:nsid w:val="6B0DE296"/>
    <w:multiLevelType w:val="singleLevel"/>
    <w:tmpl w:val="6B0DE296"/>
    <w:lvl w:ilvl="0" w:tentative="0">
      <w:start w:val="2"/>
      <w:numFmt w:val="decimal"/>
      <w:suff w:val="nothing"/>
      <w:lvlText w:val="%1、"/>
      <w:lvlJc w:val="left"/>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B7E3D3F"/>
    <w:rsid w:val="1C5839E6"/>
    <w:rsid w:val="377B5056"/>
    <w:rsid w:val="5FCDD5D4"/>
    <w:rsid w:val="6F3D8A36"/>
    <w:rsid w:val="7FF067F8"/>
    <w:rsid w:val="7FF1DEED"/>
    <w:rsid w:val="E273502A"/>
    <w:rsid w:val="FEFC4A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4">
    <w:name w:val="Default Paragraph Font"/>
    <w:uiPriority w:val="1"/>
  </w:style>
  <w:style w:type="table" w:default="1" w:styleId="2">
    <w:name w:val="Normal Table"/>
    <w:uiPriority w:val="99"/>
    <w:tblPr>
      <w:tblLayout w:type="fixed"/>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333</Words>
  <Characters>357</Characters>
  <Paragraphs>12</Paragraphs>
  <TotalTime>66</TotalTime>
  <ScaleCrop>false</ScaleCrop>
  <LinksUpToDate>false</LinksUpToDate>
  <CharactersWithSpaces>359</CharactersWithSpaces>
  <Application>WPS Office WWO_base_provider_20220117102555-321f3fca00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2025-02-27T08:26:00Z</dcterms:created>
  <dc:creator>DMG-W00</dc:creator>
  <cp:lastModifiedBy>月荷沁香</cp:lastModifiedBy>
  <dcterms:modified xsi:type="dcterms:W3CDTF">2025-12-12T13:00:54Z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EFAFC5C1FF0248D09E7E6135FE61BB1C_13</vt:lpwstr>
  </property>
  <property fmtid="{D5CDD505-2E9C-101B-9397-08002B2CF9AE}" pid="3" name="KSOProductBuildVer">
    <vt:lpwstr>2052-0.0.0.0</vt:lpwstr>
  </property>
  <property fmtid="{D5CDD505-2E9C-101B-9397-08002B2CF9AE}" pid="4" name="KSOTemplateDocerSaveRecord">
    <vt:lpwstr>eyJoZGlkIjoiMDU5ZDk0MTkxYzFjZmVjMDc1OTQ0OTU0MWY1Njk5YWUiLCJ1c2VySWQiOiI5ODQzMTI1NTcifQ==</vt:lpwstr>
  </property>
</Properties>
</file>