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50"/>
        <w:ind w:left="100" w:firstLine="0"/>
      </w:pPr>
      <w:r>
        <w:t>一、名词解释（</w:t>
      </w:r>
      <w:r>
        <w:rPr>
          <w:spacing w:val="-19"/>
        </w:rPr>
        <w:t xml:space="preserve">每个 </w:t>
      </w:r>
      <w:r>
        <w:t>10</w:t>
      </w:r>
      <w:r>
        <w:rPr>
          <w:spacing w:val="-22"/>
        </w:rPr>
        <w:t xml:space="preserve"> 分，共 </w:t>
      </w:r>
      <w:r>
        <w:t>10</w:t>
      </w:r>
      <w:r>
        <w:rPr>
          <w:spacing w:val="-28"/>
        </w:rPr>
        <w:t xml:space="preserve"> 题</w:t>
      </w:r>
      <w:r>
        <w:rPr>
          <w:spacing w:val="-10"/>
        </w:rPr>
        <w:t>）</w:t>
      </w:r>
    </w:p>
    <w:p>
      <w:pPr>
        <w:pStyle w:val="7"/>
        <w:numPr>
          <w:ilvl w:val="0"/>
          <w:numId w:val="1"/>
        </w:numPr>
        <w:tabs>
          <w:tab w:val="left" w:pos="255"/>
        </w:tabs>
        <w:spacing w:before="43" w:after="0" w:line="240" w:lineRule="auto"/>
        <w:ind w:left="255" w:right="0" w:hanging="155"/>
        <w:jc w:val="left"/>
        <w:rPr>
          <w:sz w:val="21"/>
        </w:rPr>
      </w:pPr>
      <w:r>
        <w:rPr>
          <w:spacing w:val="-4"/>
          <w:sz w:val="21"/>
        </w:rPr>
        <w:t>生物标本库</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生物样本库又称生物银行主要是指标准化收集、处理、储存和应用健康和疾病生物体的生物大分子、细胞、组织和器官等样本，包括人体器官组织、全血、血浆、血清生物体液或经处理过的生物样本，如：DNA、RNA、蛋白等。以及与这些生物样本相关的临床、病理、治疗随访、知情同意等资料及其质量控制、信息管理与应用系统。</w:t>
      </w:r>
    </w:p>
    <w:p>
      <w:pPr>
        <w:pStyle w:val="7"/>
        <w:numPr>
          <w:ilvl w:val="0"/>
          <w:numId w:val="1"/>
        </w:numPr>
        <w:tabs>
          <w:tab w:val="left" w:pos="255"/>
        </w:tabs>
        <w:spacing w:before="43" w:after="0" w:line="240" w:lineRule="auto"/>
        <w:ind w:left="255" w:right="0" w:hanging="155"/>
        <w:jc w:val="left"/>
        <w:rPr>
          <w:sz w:val="21"/>
        </w:rPr>
      </w:pPr>
      <w:r>
        <w:rPr>
          <w:spacing w:val="-4"/>
          <w:sz w:val="21"/>
        </w:rPr>
        <w:t>生存率</w:t>
      </w:r>
    </w:p>
    <w:p>
      <w:pPr>
        <w:pStyle w:val="7"/>
        <w:numPr>
          <w:ilvl w:val="0"/>
          <w:numId w:val="0"/>
        </w:numPr>
        <w:tabs>
          <w:tab w:val="left" w:pos="255"/>
        </w:tabs>
        <w:spacing w:before="43" w:after="0" w:line="240" w:lineRule="auto"/>
        <w:ind w:left="100" w:leftChars="0" w:right="0" w:rightChars="0"/>
        <w:jc w:val="left"/>
        <w:rPr>
          <w:rFonts w:hint="eastAsia" w:eastAsia="宋体"/>
          <w:sz w:val="21"/>
          <w:lang w:eastAsia="zh-CN"/>
        </w:rPr>
      </w:pPr>
      <w:r>
        <w:rPr>
          <w:rFonts w:hint="eastAsia" w:eastAsia="宋体"/>
          <w:sz w:val="21"/>
          <w:lang w:eastAsia="zh-CN"/>
        </w:rPr>
        <w:drawing>
          <wp:inline distT="0" distB="0" distL="114300" distR="114300">
            <wp:extent cx="5657850" cy="728980"/>
            <wp:effectExtent l="0" t="0" r="6350" b="7620"/>
            <wp:docPr id="1" name="图片 1" descr="f048c0b47c8fffa6bce3ac10610286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048c0b47c8fffa6bce3ac10610286b3"/>
                    <pic:cNvPicPr>
                      <a:picLocks noChangeAspect="1"/>
                    </pic:cNvPicPr>
                  </pic:nvPicPr>
                  <pic:blipFill>
                    <a:blip r:embed="rId4"/>
                    <a:srcRect l="13525" t="77578" r="8503" b="15826"/>
                    <a:stretch>
                      <a:fillRect/>
                    </a:stretch>
                  </pic:blipFill>
                  <pic:spPr>
                    <a:xfrm>
                      <a:off x="0" y="0"/>
                      <a:ext cx="5657850" cy="728980"/>
                    </a:xfrm>
                    <a:prstGeom prst="rect">
                      <a:avLst/>
                    </a:prstGeom>
                  </pic:spPr>
                </pic:pic>
              </a:graphicData>
            </a:graphic>
          </wp:inline>
        </w:drawing>
      </w:r>
    </w:p>
    <w:p>
      <w:pPr>
        <w:pStyle w:val="7"/>
        <w:numPr>
          <w:ilvl w:val="0"/>
          <w:numId w:val="1"/>
        </w:numPr>
        <w:tabs>
          <w:tab w:val="left" w:pos="255"/>
        </w:tabs>
        <w:spacing w:before="43" w:after="0" w:line="240" w:lineRule="auto"/>
        <w:ind w:left="255" w:right="0" w:hanging="155"/>
        <w:jc w:val="left"/>
        <w:rPr>
          <w:sz w:val="21"/>
        </w:rPr>
      </w:pPr>
      <w:r>
        <w:rPr>
          <w:spacing w:val="-2"/>
          <w:sz w:val="21"/>
        </w:rPr>
        <w:t>非电离辐射（英文</w:t>
      </w:r>
      <w:r>
        <w:rPr>
          <w:spacing w:val="-10"/>
          <w:sz w:val="21"/>
        </w:rPr>
        <w:t>）</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非电离辐射：是指量子能量较低的电磁辐射不足以引起生物体电离的称为非电离辐射，如射频辐射、紫外线、红外线、激光等。</w:t>
      </w:r>
    </w:p>
    <w:p>
      <w:pPr>
        <w:pStyle w:val="7"/>
        <w:numPr>
          <w:ilvl w:val="0"/>
          <w:numId w:val="1"/>
        </w:numPr>
        <w:tabs>
          <w:tab w:val="left" w:pos="255"/>
        </w:tabs>
        <w:spacing w:before="43" w:after="0" w:line="240" w:lineRule="auto"/>
        <w:ind w:left="255" w:right="0" w:hanging="155"/>
        <w:jc w:val="left"/>
        <w:rPr>
          <w:sz w:val="21"/>
        </w:rPr>
      </w:pPr>
      <w:r>
        <w:rPr>
          <w:spacing w:val="-2"/>
          <w:sz w:val="21"/>
        </w:rPr>
        <w:t>一级预防（英文</w:t>
      </w:r>
      <w:r>
        <w:rPr>
          <w:spacing w:val="-10"/>
          <w:sz w:val="21"/>
        </w:rPr>
        <w:t>）</w:t>
      </w:r>
    </w:p>
    <w:p>
      <w:pPr>
        <w:pStyle w:val="7"/>
        <w:numPr>
          <w:ilvl w:val="0"/>
          <w:numId w:val="0"/>
        </w:numPr>
        <w:tabs>
          <w:tab w:val="left" w:pos="255"/>
        </w:tabs>
        <w:spacing w:before="43" w:after="0" w:line="240" w:lineRule="auto"/>
        <w:ind w:left="100" w:leftChars="0" w:right="0" w:rightChars="0"/>
        <w:jc w:val="left"/>
        <w:rPr>
          <w:sz w:val="21"/>
        </w:rPr>
      </w:pPr>
      <w:r>
        <w:rPr>
          <w:rFonts w:hint="eastAsia"/>
          <w:color w:val="0000FF"/>
          <w:sz w:val="21"/>
        </w:rPr>
        <w:t>第一级预防（Primary prevention）又称病因预防，是从根本上消除或控制职业性有害因素对人的作用和损害，即改进生产工艺和生产设备，合理利用防护设施和个人防护用品，以减少或消除工人接触的机会。</w:t>
      </w:r>
    </w:p>
    <w:p>
      <w:pPr>
        <w:pStyle w:val="7"/>
        <w:numPr>
          <w:ilvl w:val="0"/>
          <w:numId w:val="1"/>
        </w:numPr>
        <w:tabs>
          <w:tab w:val="left" w:pos="255"/>
        </w:tabs>
        <w:spacing w:before="43" w:after="0" w:line="240" w:lineRule="auto"/>
        <w:ind w:left="255" w:right="0" w:hanging="155"/>
        <w:jc w:val="left"/>
        <w:rPr>
          <w:sz w:val="21"/>
        </w:rPr>
      </w:pPr>
      <w:r>
        <w:rPr>
          <w:spacing w:val="-4"/>
          <w:sz w:val="21"/>
        </w:rPr>
        <w:t>氨基酸模式</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是指蛋白质中各种必需氨基酸的构成比例。其计算方法是将该种蛋白质中的色氨酸含量定为1，分别计算出其他必需氨基酸的相应比值</w:t>
      </w:r>
    </w:p>
    <w:p>
      <w:pPr>
        <w:pStyle w:val="7"/>
        <w:numPr>
          <w:ilvl w:val="0"/>
          <w:numId w:val="1"/>
        </w:numPr>
        <w:tabs>
          <w:tab w:val="left" w:pos="255"/>
        </w:tabs>
        <w:spacing w:before="43" w:after="0" w:line="240" w:lineRule="auto"/>
        <w:ind w:left="255" w:right="0" w:hanging="155"/>
        <w:jc w:val="left"/>
        <w:rPr>
          <w:sz w:val="21"/>
        </w:rPr>
      </w:pPr>
      <w:r>
        <w:rPr>
          <w:spacing w:val="-4"/>
          <w:sz w:val="21"/>
        </w:rPr>
        <w:t>血糖生成指数</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食物血糖生成指数简称生糖指数，是反映食物引起人体血糖升高程度的指标，是人体进食后机体血糖生成的应答状况。</w:t>
      </w:r>
    </w:p>
    <w:p>
      <w:pPr>
        <w:pStyle w:val="7"/>
        <w:numPr>
          <w:ilvl w:val="0"/>
          <w:numId w:val="1"/>
        </w:numPr>
        <w:tabs>
          <w:tab w:val="left" w:pos="255"/>
        </w:tabs>
        <w:spacing w:before="43" w:after="0" w:line="240" w:lineRule="auto"/>
        <w:ind w:left="255" w:right="0" w:hanging="155"/>
        <w:jc w:val="left"/>
        <w:rPr>
          <w:sz w:val="21"/>
        </w:rPr>
      </w:pPr>
      <w:r>
        <w:rPr>
          <w:spacing w:val="-4"/>
          <w:sz w:val="21"/>
        </w:rPr>
        <w:t>概率密度曲线</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概率密度曲线是位于横轴上方用于描述概率分布的曲线，该曲线下面积为1，对应概率为1。某事件在概率密度曲线下对应某一区间的面积即为该事件的概率</w:t>
      </w:r>
    </w:p>
    <w:p>
      <w:pPr>
        <w:pStyle w:val="7"/>
        <w:numPr>
          <w:ilvl w:val="0"/>
          <w:numId w:val="1"/>
        </w:numPr>
        <w:tabs>
          <w:tab w:val="left" w:pos="255"/>
        </w:tabs>
        <w:spacing w:before="43" w:after="0" w:line="240" w:lineRule="auto"/>
        <w:ind w:left="255" w:right="0" w:hanging="155"/>
        <w:jc w:val="left"/>
        <w:rPr>
          <w:sz w:val="21"/>
        </w:rPr>
      </w:pPr>
      <w:r>
        <w:rPr>
          <w:spacing w:val="-4"/>
          <w:sz w:val="21"/>
        </w:rPr>
        <w:t>抽样误差</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抽样误差（Sampling error)：也称抽样变异，统计量的值在重复随机抽样的样本中各不相同，这种统计量随着样本的变化而变化的现象。抽样误差的大小用标准误进行刻画。</w:t>
      </w:r>
    </w:p>
    <w:p>
      <w:pPr>
        <w:pStyle w:val="7"/>
        <w:numPr>
          <w:ilvl w:val="0"/>
          <w:numId w:val="1"/>
        </w:numPr>
        <w:tabs>
          <w:tab w:val="left" w:pos="255"/>
        </w:tabs>
        <w:spacing w:before="43" w:after="0" w:line="240" w:lineRule="auto"/>
        <w:ind w:left="255" w:right="0" w:hanging="155"/>
        <w:jc w:val="left"/>
        <w:rPr>
          <w:sz w:val="21"/>
        </w:rPr>
      </w:pPr>
      <w:r>
        <w:rPr>
          <w:spacing w:val="-4"/>
          <w:sz w:val="21"/>
        </w:rPr>
        <w:t>居住建筑密度</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是居住用地内，各类建筑的基底总面积与居</w:t>
      </w:r>
      <w:r>
        <w:rPr>
          <w:rFonts w:hint="eastAsia"/>
          <w:color w:val="0000FF"/>
          <w:sz w:val="21"/>
          <w:lang w:val="en-US" w:eastAsia="zh-CN"/>
        </w:rPr>
        <w:t>住</w:t>
      </w:r>
      <w:r>
        <w:rPr>
          <w:rFonts w:hint="eastAsia"/>
          <w:color w:val="0000FF"/>
          <w:sz w:val="21"/>
        </w:rPr>
        <w:t>区用地面积的比率。</w:t>
      </w:r>
    </w:p>
    <w:p>
      <w:pPr>
        <w:pStyle w:val="7"/>
        <w:numPr>
          <w:ilvl w:val="0"/>
          <w:numId w:val="1"/>
        </w:numPr>
        <w:tabs>
          <w:tab w:val="left" w:pos="365"/>
        </w:tabs>
        <w:spacing w:before="42" w:after="0" w:line="240" w:lineRule="auto"/>
        <w:ind w:left="365" w:right="0" w:hanging="265"/>
        <w:jc w:val="left"/>
        <w:rPr>
          <w:sz w:val="21"/>
        </w:rPr>
      </w:pPr>
      <w:r>
        <w:rPr>
          <w:spacing w:val="-4"/>
          <w:sz w:val="21"/>
        </w:rPr>
        <w:t>光化学烟雾</w:t>
      </w:r>
    </w:p>
    <w:p>
      <w:pPr>
        <w:pStyle w:val="7"/>
        <w:numPr>
          <w:ilvl w:val="0"/>
          <w:numId w:val="0"/>
        </w:numPr>
        <w:tabs>
          <w:tab w:val="left" w:pos="365"/>
        </w:tabs>
        <w:spacing w:before="42" w:after="0" w:line="240" w:lineRule="auto"/>
        <w:ind w:left="100" w:leftChars="0" w:right="0" w:rightChars="0"/>
        <w:jc w:val="left"/>
        <w:rPr>
          <w:color w:val="0000FF"/>
          <w:sz w:val="21"/>
        </w:rPr>
      </w:pPr>
      <w:r>
        <w:rPr>
          <w:rFonts w:hint="eastAsia"/>
          <w:color w:val="0000FF"/>
          <w:sz w:val="21"/>
        </w:rPr>
        <w:t>(1）光化学型烟雾（Photochemical smog）事件：是由汽车尾气中的氮氧化物（NOx）和挥发性有机物（VOC）在日光紫外线的照射下，经过一系列的光化学反应生成的刺激性很强的浅蓝色烟雾所致，其主要成分是臭氧（约占90%)、醛类以及各种过氧酰基硝酸酯（PANs，约占10%)，这些通称为光化学氧化剂。</w:t>
      </w:r>
    </w:p>
    <w:p>
      <w:pPr>
        <w:pStyle w:val="2"/>
        <w:ind w:left="100" w:firstLine="0"/>
      </w:pPr>
      <w:r>
        <w:rPr>
          <w:spacing w:val="-2"/>
        </w:rPr>
        <w:t>二、简答题（</w:t>
      </w:r>
      <w:r>
        <w:rPr>
          <w:spacing w:val="-18"/>
        </w:rPr>
        <w:t xml:space="preserve">每题 </w:t>
      </w:r>
      <w:r>
        <w:rPr>
          <w:spacing w:val="-2"/>
        </w:rPr>
        <w:t>15</w:t>
      </w:r>
      <w:r>
        <w:rPr>
          <w:spacing w:val="-21"/>
        </w:rPr>
        <w:t xml:space="preserve"> 分，共 </w:t>
      </w:r>
      <w:r>
        <w:rPr>
          <w:spacing w:val="-2"/>
        </w:rPr>
        <w:t>5</w:t>
      </w:r>
      <w:r>
        <w:rPr>
          <w:spacing w:val="-25"/>
        </w:rPr>
        <w:t xml:space="preserve"> 题</w:t>
      </w:r>
      <w:r>
        <w:rPr>
          <w:spacing w:val="-10"/>
        </w:rPr>
        <w:t>）</w:t>
      </w:r>
    </w:p>
    <w:p>
      <w:pPr>
        <w:pStyle w:val="7"/>
        <w:numPr>
          <w:ilvl w:val="0"/>
          <w:numId w:val="2"/>
        </w:numPr>
        <w:tabs>
          <w:tab w:val="left" w:pos="255"/>
        </w:tabs>
        <w:spacing w:before="44" w:after="0" w:line="240" w:lineRule="auto"/>
        <w:ind w:left="255" w:right="0" w:hanging="155"/>
        <w:jc w:val="left"/>
        <w:rPr>
          <w:sz w:val="21"/>
        </w:rPr>
      </w:pPr>
      <w:r>
        <w:rPr>
          <w:spacing w:val="-3"/>
          <w:sz w:val="21"/>
        </w:rPr>
        <w:t>病例对照实验选择对照的方式及特点</w:t>
      </w:r>
    </w:p>
    <w:p>
      <w:pPr>
        <w:pStyle w:val="7"/>
        <w:numPr>
          <w:ilvl w:val="0"/>
          <w:numId w:val="0"/>
        </w:numPr>
        <w:tabs>
          <w:tab w:val="left" w:pos="255"/>
        </w:tabs>
        <w:spacing w:before="44" w:after="0" w:line="240" w:lineRule="auto"/>
        <w:ind w:left="100" w:leftChars="0" w:right="0" w:rightChars="0"/>
        <w:jc w:val="left"/>
        <w:rPr>
          <w:rFonts w:hint="eastAsia"/>
          <w:color w:val="0000FF"/>
          <w:sz w:val="21"/>
        </w:rPr>
      </w:pPr>
      <w:r>
        <w:rPr>
          <w:rFonts w:hint="eastAsia"/>
          <w:color w:val="0000FF"/>
          <w:sz w:val="21"/>
        </w:rPr>
        <w:t>(1）选择对照的原则：对照必须是以与病例相同的诊断标准认为不患所研究疾病的人：对照应能够代表产生病例的源人群，即对照的暴露分布应该与病例源人群的暴露分布一致</w:t>
      </w:r>
    </w:p>
    <w:p>
      <w:pPr>
        <w:pStyle w:val="7"/>
        <w:numPr>
          <w:ilvl w:val="0"/>
          <w:numId w:val="0"/>
        </w:numPr>
        <w:tabs>
          <w:tab w:val="left" w:pos="255"/>
        </w:tabs>
        <w:spacing w:before="44" w:after="0" w:line="240" w:lineRule="auto"/>
        <w:ind w:left="100" w:leftChars="0" w:right="0" w:rightChars="0"/>
        <w:jc w:val="left"/>
        <w:rPr>
          <w:rFonts w:hint="eastAsia"/>
          <w:color w:val="0000FF"/>
          <w:sz w:val="21"/>
        </w:rPr>
      </w:pPr>
      <w:r>
        <w:rPr>
          <w:rFonts w:hint="eastAsia"/>
          <w:color w:val="0000FF"/>
          <w:sz w:val="21"/>
        </w:rPr>
        <w:t>(2）对照的来源：</w:t>
      </w:r>
    </w:p>
    <w:p>
      <w:pPr>
        <w:pStyle w:val="7"/>
        <w:numPr>
          <w:ilvl w:val="0"/>
          <w:numId w:val="0"/>
        </w:numPr>
        <w:tabs>
          <w:tab w:val="left" w:pos="255"/>
        </w:tabs>
        <w:spacing w:before="44" w:after="0" w:line="240" w:lineRule="auto"/>
        <w:ind w:left="100" w:leftChars="0" w:right="0" w:rightChars="0"/>
        <w:jc w:val="left"/>
        <w:rPr>
          <w:rFonts w:hint="eastAsia"/>
          <w:color w:val="0000FF"/>
          <w:sz w:val="21"/>
        </w:rPr>
      </w:pPr>
      <w:r>
        <w:rPr>
          <w:rFonts w:hint="eastAsia"/>
          <w:color w:val="0000FF"/>
          <w:sz w:val="21"/>
        </w:rPr>
        <w:t>①同一个或多个医疗机构中诊断的其他疾病的病人：其优点是易于选取，比较合作，可利用档案资料，实际工作中经常采用。但是这种来源的对照的暴露分布常常不同于病例的源人群。</w:t>
      </w:r>
    </w:p>
    <w:p>
      <w:pPr>
        <w:pStyle w:val="7"/>
        <w:numPr>
          <w:ilvl w:val="0"/>
          <w:numId w:val="0"/>
        </w:numPr>
        <w:tabs>
          <w:tab w:val="left" w:pos="255"/>
        </w:tabs>
        <w:spacing w:before="44" w:after="0" w:line="240" w:lineRule="auto"/>
        <w:ind w:left="100" w:leftChars="0" w:right="0" w:rightChars="0"/>
        <w:jc w:val="left"/>
        <w:rPr>
          <w:rFonts w:hint="eastAsia"/>
          <w:color w:val="0000FF"/>
          <w:sz w:val="21"/>
        </w:rPr>
      </w:pPr>
      <w:r>
        <w:rPr>
          <w:rFonts w:hint="eastAsia"/>
          <w:color w:val="0000FF"/>
          <w:sz w:val="21"/>
        </w:rPr>
        <w:t>②社区人群或团体人群中非该病病例或健康人：不易出现医院对照可能面临的选择偏倚问题。但实施难度大，费用高，所选对照不易配合。</w:t>
      </w:r>
    </w:p>
    <w:p>
      <w:pPr>
        <w:pStyle w:val="7"/>
        <w:numPr>
          <w:ilvl w:val="0"/>
          <w:numId w:val="0"/>
        </w:numPr>
        <w:tabs>
          <w:tab w:val="left" w:pos="255"/>
        </w:tabs>
        <w:spacing w:before="44" w:after="0" w:line="240" w:lineRule="auto"/>
        <w:ind w:left="100" w:leftChars="0" w:right="0" w:rightChars="0"/>
        <w:jc w:val="left"/>
        <w:rPr>
          <w:rFonts w:hint="eastAsia"/>
          <w:color w:val="0000FF"/>
          <w:sz w:val="21"/>
        </w:rPr>
      </w:pPr>
      <w:r>
        <w:rPr>
          <w:rFonts w:hint="eastAsia"/>
          <w:color w:val="0000FF"/>
          <w:sz w:val="21"/>
        </w:rPr>
        <w:t>③病例的邻居或同一住宅区内的健康人或非该病病例：有助于控制社会经济地位的混杂作用，用于匹配设计。</w:t>
      </w:r>
    </w:p>
    <w:p>
      <w:pPr>
        <w:pStyle w:val="7"/>
        <w:numPr>
          <w:ilvl w:val="0"/>
          <w:numId w:val="0"/>
        </w:numPr>
        <w:tabs>
          <w:tab w:val="left" w:pos="255"/>
        </w:tabs>
        <w:spacing w:before="44" w:after="0" w:line="240" w:lineRule="auto"/>
        <w:ind w:left="100" w:leftChars="0" w:right="0" w:rightChars="0"/>
        <w:jc w:val="left"/>
        <w:rPr>
          <w:color w:val="0000FF"/>
          <w:sz w:val="21"/>
        </w:rPr>
      </w:pPr>
      <w:r>
        <w:rPr>
          <w:rFonts w:hint="eastAsia"/>
          <w:color w:val="0000FF"/>
          <w:sz w:val="21"/>
        </w:rPr>
        <w:t>④病例的配偶、同胞、亲戚、同学或同事等：有助于排除某些环境或遗传因素对结果的影响，用于匹配设计。</w:t>
      </w:r>
    </w:p>
    <w:p>
      <w:pPr>
        <w:pStyle w:val="7"/>
        <w:numPr>
          <w:ilvl w:val="0"/>
          <w:numId w:val="2"/>
        </w:numPr>
        <w:tabs>
          <w:tab w:val="left" w:pos="255"/>
        </w:tabs>
        <w:spacing w:before="43" w:after="0" w:line="240" w:lineRule="auto"/>
        <w:ind w:left="255" w:right="0" w:hanging="155"/>
        <w:jc w:val="left"/>
        <w:rPr>
          <w:rFonts w:hint="default" w:eastAsia="宋体"/>
          <w:sz w:val="21"/>
          <w:lang w:val="en-US" w:eastAsia="zh-CN"/>
        </w:rPr>
      </w:pPr>
      <w:r>
        <w:rPr>
          <w:spacing w:val="-2"/>
          <w:sz w:val="21"/>
        </w:rPr>
        <w:t>正态分布、泊松分布、二项分布估计，抽样误差（写</w:t>
      </w:r>
      <w:r>
        <w:rPr>
          <w:spacing w:val="-2"/>
          <w:sz w:val="21"/>
          <w:woUserID w:val="1"/>
        </w:rPr>
        <w:t>出</w:t>
      </w:r>
      <w:r>
        <w:rPr>
          <w:spacing w:val="-2"/>
          <w:sz w:val="21"/>
        </w:rPr>
        <w:t>计算公式</w:t>
      </w:r>
      <w:r>
        <w:rPr>
          <w:spacing w:val="-10"/>
          <w:sz w:val="21"/>
        </w:rPr>
        <w:t>）</w:t>
      </w:r>
    </w:p>
    <w:p>
      <w:pPr>
        <w:pStyle w:val="7"/>
        <w:numPr>
          <w:numId w:val="0"/>
        </w:numPr>
        <w:tabs>
          <w:tab w:val="left" w:pos="255"/>
        </w:tabs>
        <w:spacing w:before="43" w:after="0" w:line="240" w:lineRule="auto"/>
        <w:ind w:left="100" w:leftChars="0" w:right="0" w:rightChars="0"/>
        <w:jc w:val="left"/>
        <w:rPr>
          <w:rFonts w:hint="default" w:eastAsia="宋体"/>
          <w:sz w:val="21"/>
          <w:lang w:eastAsia="zh-CN"/>
        </w:rPr>
      </w:pPr>
      <w:bookmarkStart w:id="0" w:name="_GoBack"/>
      <w:r>
        <w:rPr>
          <w:rFonts w:hint="default" w:eastAsia="宋体"/>
          <w:sz w:val="21"/>
          <w:lang w:eastAsia="zh-CN"/>
          <w:woUserID w:val="1"/>
        </w:rPr>
        <w:drawing>
          <wp:inline distT="0" distB="0" distL="114300" distR="114300">
            <wp:extent cx="2764155" cy="9618345"/>
            <wp:effectExtent l="0" t="0" r="17145"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a:stretch>
                      <a:fillRect/>
                    </a:stretch>
                  </pic:blipFill>
                  <pic:spPr>
                    <a:xfrm>
                      <a:off x="0" y="0"/>
                      <a:ext cx="2764155" cy="9618345"/>
                    </a:xfrm>
                    <a:prstGeom prst="rect">
                      <a:avLst/>
                    </a:prstGeom>
                  </pic:spPr>
                </pic:pic>
              </a:graphicData>
            </a:graphic>
          </wp:inline>
        </w:drawing>
      </w:r>
      <w:bookmarkEnd w:id="0"/>
    </w:p>
    <w:p>
      <w:pPr>
        <w:pStyle w:val="7"/>
        <w:numPr>
          <w:ilvl w:val="0"/>
          <w:numId w:val="2"/>
        </w:numPr>
        <w:tabs>
          <w:tab w:val="left" w:pos="255"/>
        </w:tabs>
        <w:spacing w:before="43" w:after="0" w:line="240" w:lineRule="auto"/>
        <w:ind w:left="255" w:right="0" w:hanging="155"/>
        <w:jc w:val="left"/>
        <w:rPr>
          <w:sz w:val="21"/>
        </w:rPr>
      </w:pPr>
      <w:r>
        <w:rPr>
          <w:spacing w:val="-3"/>
          <w:sz w:val="21"/>
        </w:rPr>
        <w:t>职业中接触苯的途径</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①作为有机化学合成中常用的原料，如制造苯乙烯、苯酚等。</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②作为溶剂、萃取剂和稀释剂，用于树脂、粘胶、油漆等的制造。</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③煤焦油的分馏或石油裂解生产苯。</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④用作燃料。</w:t>
      </w:r>
    </w:p>
    <w:p>
      <w:pPr>
        <w:pStyle w:val="7"/>
        <w:numPr>
          <w:ilvl w:val="0"/>
          <w:numId w:val="2"/>
        </w:numPr>
        <w:tabs>
          <w:tab w:val="left" w:pos="255"/>
        </w:tabs>
        <w:spacing w:before="43" w:after="0" w:line="240" w:lineRule="auto"/>
        <w:ind w:left="255" w:right="0" w:hanging="155"/>
        <w:jc w:val="left"/>
        <w:rPr>
          <w:sz w:val="21"/>
        </w:rPr>
      </w:pPr>
      <w:r>
        <w:rPr>
          <w:spacing w:val="-4"/>
          <w:sz w:val="21"/>
        </w:rPr>
        <w:t>影响钙吸收的因素</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(1）影响吸收的因素：</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①机体因素：随年龄增长吸收率降低，特殊生理期钙的主动与被动吸收均增加。</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②膳食因素：</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a．食物草酸、植酸、磷酸，均可与钙形成难溶的盐类</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b．膳食纤维中的糖醛酸残基可与钙结合，以及未被消化的脂肪酸与钙形成钙皂均影响钙的吸收；咖啡因和酒精的摄入可在一定程度上降低钙的吸收。</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c．维生素D可促进小肠对钙的吸收；某些氨基酸如赖氨酸、色氨酸、组氨酸、精氨酸、亮氨酸等可与钙形成可溶性钙盐而促进钙的吸收。</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d．乳糖经肠道菌发酵产酸，降低肠内pH，与钙形成乳酸钙复合物可增强钙的吸收。</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③其他因素：</w:t>
      </w:r>
      <w:r>
        <w:rPr>
          <w:rFonts w:hint="eastAsia"/>
          <w:color w:val="0000FF"/>
          <w:sz w:val="21"/>
          <w:lang w:val="en-US" w:eastAsia="zh-CN"/>
        </w:rPr>
        <w:t>抗</w:t>
      </w:r>
      <w:r>
        <w:rPr>
          <w:rFonts w:hint="eastAsia"/>
          <w:color w:val="0000FF"/>
          <w:sz w:val="21"/>
        </w:rPr>
        <w:t>生素，如青霉素、氯霉素、新霉素有促进钙吸收的作用。</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碱性药物，如苏打、黄连素、四环素等也影响钙的吸收。</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(2）影响排泄的因素：</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①机体因素：血钙浓度可以调节尿钙排出量，当血钙浓度低时，钙重吸收率增加，尿钙显著减少；严虽低血钙时，无尿钙排出。当血钙升高时，则尿钙排出增加。补液、酸中毒及甲状腺素和肾上腺皮盾蠢素等均可使钙排出增加。</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②膳食因素：钙的摄入量对尿钙的排泄量影响不大，主要影响粪钙的排泄，钠和蛋白质的摄入量影</w:t>
      </w:r>
      <w:r>
        <w:rPr>
          <w:rFonts w:hint="eastAsia"/>
          <w:color w:val="0000FF"/>
          <w:sz w:val="21"/>
          <w:lang w:val="en-US" w:eastAsia="zh-CN"/>
        </w:rPr>
        <w:t>响</w:t>
      </w:r>
      <w:r>
        <w:rPr>
          <w:rFonts w:hint="eastAsia"/>
          <w:color w:val="0000FF"/>
          <w:sz w:val="21"/>
        </w:rPr>
        <w:t>尿钙的排泄。</w:t>
      </w:r>
    </w:p>
    <w:p>
      <w:pPr>
        <w:pStyle w:val="7"/>
        <w:numPr>
          <w:ilvl w:val="0"/>
          <w:numId w:val="2"/>
        </w:numPr>
        <w:tabs>
          <w:tab w:val="left" w:pos="255"/>
        </w:tabs>
        <w:spacing w:before="43" w:after="0" w:line="240" w:lineRule="auto"/>
        <w:ind w:left="255" w:right="0" w:hanging="155"/>
        <w:jc w:val="left"/>
        <w:rPr>
          <w:sz w:val="21"/>
        </w:rPr>
      </w:pPr>
      <w:r>
        <w:rPr>
          <w:sz w:val="21"/>
          <w:woUserID w:val="1"/>
        </w:rPr>
        <w:t>基准与标准的概念、区别及联系和环境保护标准体系。</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(1）区别：</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①基准（Criteria)：是指环境有害物质或因素对特定对象（人或其他生物）不产生不良或有害影响的最大剂量（浓度），是依据剂量﹣反应（效应）关系和一定的安全系数确定的，它不考虑社会、经济、技术等因素，不具有法律效力。基准是通过大量科学实验和调查研究而确定的。随着科学技术的发展和人们认识水平的提高，基准的内容也随之改变。</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②标准（Standard)：是以基准为科学依据，考虑社会、经济和技术条件等因素，由国家管理机构颁布。具有法律强制性和约束力。随基准变化而变化。</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(2）联系：</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基准和标准既有区别又有联系，且两者的数值不是一成不变的。基准和标准虽然是两个不同的概念范畴，但两者之间是紧密相关的。基准是标准的核心，是标准的科学依据，基准的数值决定了标准的基本水平。原则上，标准值应小于或等于相应的基准值。但在某些特殊情况下 标准值也可严于基准值。</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(1）我国的环境保护标准体系的分类：</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①五类三级：</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a．按照内容可分为：环境质量标准，污染物排放（控制）标准环境基础标准、环境监测分析方法标准和环境样品标准。</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b．按照级别可分为：国家标准、地方标准和行业标准。</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环境质量标准是该体系的核心标准，地方标准是对国家标准的补充，其效率应该高于国家标准，②按照效力可分为：强制性环境标准和推荐性环境标准。推荐性标准仅具有行业指导意义，不具有法律的强制力和执行力，常常导致环境标准在法律性质方面的模糊性。</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(2）环境质量标准（Environmental quality standard)：是为了保障人体健康、维护生态环境、坚证资源充分利用，并考虑社会、经济、技术等因素而对环境中有害物质和因素作出的限制性规定。我国现有环境空气、地表水、地下水、土壤、噪声等多种环境质量标准。</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(3）污染物排放标准：是根据国家环境质量标准，结合污染物控制技术，并考虑经济承受能力，对排入环境有害物质和产生污染的各种因素所作的限制性规定，对污染源进行控制的标准。①排放标准的制订，本质上是通过实行总量控制、质量控制和风险控制，保证环境质量达到一定要求；同时以质量控制为核心，总量控制要符合质量控制。</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②污染物排放标准可分为综合型排放标准和行业型排放标准。综合型排放标准和行业型排放标准不同时执行，有行业型排放标准的执行行业排放标准，没有行业型排放标准的执行综合排放标准。a．行业排放标准适用于特定行业污染源或特色产品污染源。</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b．综合型污染物排放标准适用于所有行业型污染排放标准适用范围以外的其他各行业的污染源。(4）环境基础标准、监测方法标准及环境样品标准。为了统一环境标准工作中的术语、符号、图形等，保障环境保护工作中监测分析数据的可靠性和可比性，制定了环境基础标准、监测方法标准及环境样品标准。监测方法标准、环境样品标准是为了使检测工作更加唯确和科学 能够准确揭示环境质量状况。</w:t>
      </w:r>
    </w:p>
    <w:p>
      <w:pPr>
        <w:pStyle w:val="2"/>
        <w:ind w:left="100" w:firstLine="0"/>
      </w:pPr>
      <w:r>
        <w:rPr>
          <w:spacing w:val="-2"/>
        </w:rPr>
        <w:t>三、论述题（</w:t>
      </w:r>
      <w:r>
        <w:rPr>
          <w:spacing w:val="-18"/>
        </w:rPr>
        <w:t xml:space="preserve">每题 </w:t>
      </w:r>
      <w:r>
        <w:rPr>
          <w:spacing w:val="-2"/>
        </w:rPr>
        <w:t>25</w:t>
      </w:r>
      <w:r>
        <w:rPr>
          <w:spacing w:val="-21"/>
        </w:rPr>
        <w:t xml:space="preserve"> 分，共 </w:t>
      </w:r>
      <w:r>
        <w:rPr>
          <w:spacing w:val="-2"/>
        </w:rPr>
        <w:t>5</w:t>
      </w:r>
      <w:r>
        <w:rPr>
          <w:spacing w:val="-25"/>
        </w:rPr>
        <w:t xml:space="preserve"> 题</w:t>
      </w:r>
      <w:r>
        <w:rPr>
          <w:spacing w:val="-10"/>
        </w:rPr>
        <w:t>）</w:t>
      </w:r>
    </w:p>
    <w:p>
      <w:pPr>
        <w:pStyle w:val="2"/>
        <w:spacing w:line="278" w:lineRule="auto"/>
        <w:ind w:left="100" w:right="96" w:firstLine="0"/>
        <w:rPr>
          <w:spacing w:val="-4"/>
        </w:rPr>
      </w:pPr>
      <w:r>
        <w:t>1.400</w:t>
      </w:r>
      <w:r>
        <w:rPr>
          <w:spacing w:val="-10"/>
        </w:rPr>
        <w:t xml:space="preserve"> 个病人检测</w:t>
      </w:r>
      <w:r>
        <w:rPr>
          <w:spacing w:val="-10"/>
          <w:woUserID w:val="1"/>
        </w:rPr>
        <w:t>出</w:t>
      </w:r>
      <w:r>
        <w:rPr>
          <w:spacing w:val="-51"/>
        </w:rPr>
        <w:t xml:space="preserve"> </w:t>
      </w:r>
      <w:r>
        <w:t>360</w:t>
      </w:r>
      <w:r>
        <w:rPr>
          <w:spacing w:val="-18"/>
        </w:rPr>
        <w:t xml:space="preserve"> 阳，</w:t>
      </w:r>
      <w:r>
        <w:t>200</w:t>
      </w:r>
      <w:r>
        <w:rPr>
          <w:spacing w:val="-9"/>
        </w:rPr>
        <w:t xml:space="preserve"> 个非病人检测</w:t>
      </w:r>
      <w:r>
        <w:rPr>
          <w:spacing w:val="-9"/>
          <w:woUserID w:val="1"/>
        </w:rPr>
        <w:t>出</w:t>
      </w:r>
      <w:r>
        <w:rPr>
          <w:spacing w:val="-51"/>
        </w:rPr>
        <w:t xml:space="preserve"> </w:t>
      </w:r>
      <w:r>
        <w:t>190</w:t>
      </w:r>
      <w:r>
        <w:rPr>
          <w:spacing w:val="-8"/>
        </w:rPr>
        <w:t xml:space="preserve"> 阴，求这种新型检测技术真实性评价</w:t>
      </w:r>
      <w:r>
        <w:rPr>
          <w:spacing w:val="-4"/>
        </w:rPr>
        <w:t>指标。</w:t>
      </w:r>
    </w:p>
    <w:p>
      <w:pPr>
        <w:pStyle w:val="2"/>
        <w:spacing w:line="278" w:lineRule="auto"/>
        <w:ind w:left="100" w:right="96" w:firstLine="0"/>
        <w:rPr>
          <w:rFonts w:hint="eastAsia" w:eastAsia="宋体"/>
          <w:spacing w:val="-4"/>
          <w:lang w:eastAsia="zh-CN"/>
        </w:rPr>
      </w:pPr>
      <w:r>
        <w:rPr>
          <w:rFonts w:hint="eastAsia" w:eastAsia="宋体"/>
          <w:spacing w:val="-4"/>
          <w:lang w:eastAsia="zh-CN"/>
        </w:rPr>
        <w:drawing>
          <wp:inline distT="0" distB="0" distL="114300" distR="114300">
            <wp:extent cx="5238750" cy="6603365"/>
            <wp:effectExtent l="0" t="0" r="0" b="0"/>
            <wp:docPr id="3" name="图片 3" descr="2a0b45fcd5cd27a2817ce433cd7168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a0b45fcd5cd27a2817ce433cd7168d5"/>
                    <pic:cNvPicPr>
                      <a:picLocks noChangeAspect="1"/>
                    </pic:cNvPicPr>
                  </pic:nvPicPr>
                  <pic:blipFill>
                    <a:blip r:embed="rId6"/>
                    <a:srcRect t="10736" r="2975" b="8944"/>
                    <a:stretch>
                      <a:fillRect/>
                    </a:stretch>
                  </pic:blipFill>
                  <pic:spPr>
                    <a:xfrm>
                      <a:off x="0" y="0"/>
                      <a:ext cx="5238750" cy="6603365"/>
                    </a:xfrm>
                    <a:prstGeom prst="rect">
                      <a:avLst/>
                    </a:prstGeom>
                  </pic:spPr>
                </pic:pic>
              </a:graphicData>
            </a:graphic>
          </wp:inline>
        </w:drawing>
      </w:r>
    </w:p>
    <w:p>
      <w:pPr>
        <w:pStyle w:val="7"/>
        <w:numPr>
          <w:ilvl w:val="0"/>
          <w:numId w:val="3"/>
        </w:numPr>
        <w:tabs>
          <w:tab w:val="left" w:pos="255"/>
        </w:tabs>
        <w:spacing w:before="0" w:after="34" w:line="269" w:lineRule="exact"/>
        <w:ind w:left="255" w:right="0" w:hanging="155"/>
        <w:jc w:val="left"/>
        <w:rPr>
          <w:sz w:val="21"/>
        </w:rPr>
      </w:pPr>
      <w:r>
        <w:rPr>
          <w:spacing w:val="-3"/>
          <w:sz w:val="21"/>
        </w:rPr>
        <w:t>按照以下数据计算：</w:t>
      </w:r>
    </w:p>
    <w:tbl>
      <w:tblPr>
        <w:tblStyle w:val="3"/>
        <w:tblW w:w="8298"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65"/>
        <w:gridCol w:w="2765"/>
        <w:gridCol w:w="27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765" w:type="dxa"/>
          </w:tcPr>
          <w:p>
            <w:pPr>
              <w:pStyle w:val="8"/>
              <w:spacing w:before="0"/>
              <w:ind w:left="0"/>
              <w:rPr>
                <w:rFonts w:ascii="Times New Roman"/>
                <w:sz w:val="20"/>
              </w:rPr>
            </w:pPr>
          </w:p>
        </w:tc>
        <w:tc>
          <w:tcPr>
            <w:tcW w:w="2765" w:type="dxa"/>
          </w:tcPr>
          <w:p>
            <w:pPr>
              <w:pStyle w:val="8"/>
              <w:rPr>
                <w:sz w:val="21"/>
              </w:rPr>
            </w:pPr>
            <w:r>
              <w:rPr>
                <w:spacing w:val="-5"/>
                <w:sz w:val="21"/>
              </w:rPr>
              <w:t>男性</w:t>
            </w:r>
          </w:p>
        </w:tc>
        <w:tc>
          <w:tcPr>
            <w:tcW w:w="2768" w:type="dxa"/>
          </w:tcPr>
          <w:p>
            <w:pPr>
              <w:pStyle w:val="8"/>
              <w:rPr>
                <w:sz w:val="21"/>
              </w:rPr>
            </w:pPr>
            <w:r>
              <w:rPr>
                <w:spacing w:val="-5"/>
                <w:sz w:val="21"/>
              </w:rPr>
              <w:t>女性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765" w:type="dxa"/>
          </w:tcPr>
          <w:p>
            <w:pPr>
              <w:pStyle w:val="8"/>
              <w:ind w:left="107"/>
              <w:rPr>
                <w:sz w:val="21"/>
              </w:rPr>
            </w:pPr>
            <w:r>
              <w:rPr>
                <w:spacing w:val="-4"/>
                <w:sz w:val="21"/>
              </w:rPr>
              <w:t>样本量</w:t>
            </w:r>
          </w:p>
        </w:tc>
        <w:tc>
          <w:tcPr>
            <w:tcW w:w="2765" w:type="dxa"/>
          </w:tcPr>
          <w:p>
            <w:pPr>
              <w:pStyle w:val="8"/>
              <w:rPr>
                <w:sz w:val="21"/>
              </w:rPr>
            </w:pPr>
            <w:r>
              <w:rPr>
                <w:spacing w:val="-5"/>
                <w:w w:val="105"/>
                <w:sz w:val="21"/>
              </w:rPr>
              <w:t>100</w:t>
            </w:r>
          </w:p>
        </w:tc>
        <w:tc>
          <w:tcPr>
            <w:tcW w:w="2768" w:type="dxa"/>
          </w:tcPr>
          <w:p>
            <w:pPr>
              <w:pStyle w:val="8"/>
              <w:rPr>
                <w:sz w:val="21"/>
              </w:rPr>
            </w:pPr>
            <w:r>
              <w:rPr>
                <w:spacing w:val="-5"/>
                <w:w w:val="105"/>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765" w:type="dxa"/>
          </w:tcPr>
          <w:p>
            <w:pPr>
              <w:pStyle w:val="8"/>
              <w:ind w:left="107"/>
              <w:rPr>
                <w:sz w:val="21"/>
              </w:rPr>
            </w:pPr>
            <w:r>
              <w:rPr>
                <w:spacing w:val="-4"/>
                <w:sz w:val="21"/>
              </w:rPr>
              <w:t>样本均数</w:t>
            </w:r>
          </w:p>
        </w:tc>
        <w:tc>
          <w:tcPr>
            <w:tcW w:w="2765" w:type="dxa"/>
          </w:tcPr>
          <w:p>
            <w:pPr>
              <w:pStyle w:val="8"/>
              <w:rPr>
                <w:sz w:val="21"/>
              </w:rPr>
            </w:pPr>
            <w:r>
              <w:rPr>
                <w:spacing w:val="-4"/>
                <w:sz w:val="21"/>
              </w:rPr>
              <w:t>5.21</w:t>
            </w:r>
          </w:p>
        </w:tc>
        <w:tc>
          <w:tcPr>
            <w:tcW w:w="2768" w:type="dxa"/>
          </w:tcPr>
          <w:p>
            <w:pPr>
              <w:pStyle w:val="8"/>
              <w:rPr>
                <w:sz w:val="21"/>
              </w:rPr>
            </w:pPr>
            <w:r>
              <w:rPr>
                <w:spacing w:val="-4"/>
                <w:sz w:val="21"/>
              </w:rPr>
              <w:t>5.04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2765" w:type="dxa"/>
          </w:tcPr>
          <w:p>
            <w:pPr>
              <w:pStyle w:val="8"/>
              <w:spacing w:before="10"/>
              <w:ind w:left="107"/>
              <w:rPr>
                <w:sz w:val="21"/>
              </w:rPr>
            </w:pPr>
            <w:r>
              <w:rPr>
                <w:spacing w:val="-4"/>
                <w:sz w:val="21"/>
              </w:rPr>
              <w:t>样本标准差</w:t>
            </w:r>
          </w:p>
        </w:tc>
        <w:tc>
          <w:tcPr>
            <w:tcW w:w="2765" w:type="dxa"/>
          </w:tcPr>
          <w:p>
            <w:pPr>
              <w:pStyle w:val="8"/>
              <w:spacing w:before="10"/>
              <w:rPr>
                <w:sz w:val="21"/>
              </w:rPr>
            </w:pPr>
            <w:r>
              <w:rPr>
                <w:spacing w:val="-4"/>
                <w:sz w:val="21"/>
              </w:rPr>
              <w:t>1.14</w:t>
            </w:r>
          </w:p>
        </w:tc>
        <w:tc>
          <w:tcPr>
            <w:tcW w:w="2768" w:type="dxa"/>
          </w:tcPr>
          <w:p>
            <w:pPr>
              <w:pStyle w:val="8"/>
              <w:spacing w:before="10"/>
              <w:rPr>
                <w:sz w:val="21"/>
              </w:rPr>
            </w:pPr>
            <w:r>
              <w:rPr>
                <w:spacing w:val="-4"/>
                <w:sz w:val="21"/>
              </w:rPr>
              <w:t>1.16</w:t>
            </w:r>
          </w:p>
        </w:tc>
      </w:tr>
    </w:tbl>
    <w:p>
      <w:pPr>
        <w:pStyle w:val="7"/>
        <w:numPr>
          <w:ilvl w:val="0"/>
          <w:numId w:val="4"/>
        </w:numPr>
        <w:tabs>
          <w:tab w:val="left" w:pos="631"/>
        </w:tabs>
        <w:spacing w:before="10" w:after="0" w:line="240" w:lineRule="auto"/>
        <w:ind w:left="631" w:right="0" w:hanging="531"/>
        <w:jc w:val="left"/>
        <w:rPr>
          <w:sz w:val="21"/>
        </w:rPr>
      </w:pPr>
      <w:r>
        <w:rPr>
          <w:spacing w:val="-11"/>
          <w:sz w:val="21"/>
        </w:rPr>
        <w:t xml:space="preserve">求百分之 </w:t>
      </w:r>
      <w:r>
        <w:rPr>
          <w:spacing w:val="-2"/>
          <w:sz w:val="21"/>
        </w:rPr>
        <w:t>95</w:t>
      </w:r>
      <w:r>
        <w:rPr>
          <w:spacing w:val="-14"/>
          <w:sz w:val="21"/>
        </w:rPr>
        <w:t xml:space="preserve"> 置信区间</w:t>
      </w:r>
    </w:p>
    <w:p>
      <w:pPr>
        <w:pStyle w:val="7"/>
        <w:numPr>
          <w:ilvl w:val="0"/>
          <w:numId w:val="4"/>
        </w:numPr>
        <w:tabs>
          <w:tab w:val="left" w:pos="631"/>
        </w:tabs>
        <w:spacing w:before="43" w:after="0" w:line="240" w:lineRule="auto"/>
        <w:ind w:left="631" w:right="0" w:hanging="531"/>
        <w:jc w:val="left"/>
        <w:rPr>
          <w:sz w:val="21"/>
        </w:rPr>
      </w:pPr>
      <w:r>
        <w:rPr>
          <w:spacing w:val="-3"/>
          <w:sz w:val="21"/>
        </w:rPr>
        <w:t>求两样本代表的总体均数是否相等，并进行完整的假设检验及假设检验思想</w:t>
      </w:r>
    </w:p>
    <w:p>
      <w:pPr>
        <w:pStyle w:val="7"/>
        <w:numPr>
          <w:ilvl w:val="0"/>
          <w:numId w:val="0"/>
        </w:numPr>
        <w:tabs>
          <w:tab w:val="left" w:pos="631"/>
        </w:tabs>
        <w:spacing w:before="43" w:after="0" w:line="240" w:lineRule="auto"/>
        <w:ind w:left="100" w:leftChars="0" w:right="0" w:rightChars="0"/>
        <w:jc w:val="left"/>
        <w:rPr>
          <w:rStyle w:val="5"/>
          <w:rFonts w:hint="eastAsia" w:ascii="Segoe UI" w:hAnsi="Segoe UI" w:cs="Segoe UI"/>
          <w:b/>
          <w:bCs/>
          <w:i w:val="0"/>
          <w:iCs w:val="0"/>
          <w:caps w:val="0"/>
          <w:color w:val="404040"/>
          <w:spacing w:val="0"/>
          <w:sz w:val="16"/>
          <w:szCs w:val="16"/>
          <w:shd w:val="clear" w:fill="FFFFFF"/>
          <w:lang w:eastAsia="zh-CN"/>
        </w:rPr>
      </w:pPr>
      <w:r>
        <w:drawing>
          <wp:inline distT="0" distB="0" distL="114300" distR="114300">
            <wp:extent cx="5095240" cy="2463800"/>
            <wp:effectExtent l="0" t="0" r="1016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5095240" cy="2463800"/>
                    </a:xfrm>
                    <a:prstGeom prst="rect">
                      <a:avLst/>
                    </a:prstGeom>
                    <a:noFill/>
                    <a:ln>
                      <a:noFill/>
                    </a:ln>
                  </pic:spPr>
                </pic:pic>
              </a:graphicData>
            </a:graphic>
          </wp:inline>
        </w:drawing>
      </w:r>
    </w:p>
    <w:p>
      <w:pPr>
        <w:pStyle w:val="7"/>
        <w:numPr>
          <w:ilvl w:val="0"/>
          <w:numId w:val="0"/>
        </w:numPr>
        <w:tabs>
          <w:tab w:val="left" w:pos="631"/>
        </w:tabs>
        <w:spacing w:before="43" w:after="0" w:line="240" w:lineRule="auto"/>
        <w:ind w:left="100" w:leftChars="0" w:right="0" w:rightChars="0"/>
        <w:jc w:val="left"/>
        <w:rPr>
          <w:color w:val="0000FF"/>
          <w:sz w:val="24"/>
          <w:szCs w:val="28"/>
        </w:rPr>
      </w:pPr>
      <w:r>
        <w:rPr>
          <w:rStyle w:val="5"/>
          <w:rFonts w:hint="eastAsia" w:ascii="Segoe UI" w:hAnsi="Segoe UI" w:cs="Segoe UI"/>
          <w:b/>
          <w:bCs/>
          <w:i w:val="0"/>
          <w:iCs w:val="0"/>
          <w:caps w:val="0"/>
          <w:color w:val="0000FF"/>
          <w:spacing w:val="0"/>
          <w:sz w:val="20"/>
          <w:szCs w:val="20"/>
          <w:shd w:val="clear" w:fill="FFFFFF"/>
          <w:lang w:eastAsia="zh-CN"/>
        </w:rPr>
        <w:t>（</w:t>
      </w:r>
      <w:r>
        <w:rPr>
          <w:rStyle w:val="5"/>
          <w:rFonts w:hint="eastAsia" w:ascii="Segoe UI" w:hAnsi="Segoe UI" w:cs="Segoe UI"/>
          <w:b/>
          <w:bCs/>
          <w:i w:val="0"/>
          <w:iCs w:val="0"/>
          <w:caps w:val="0"/>
          <w:color w:val="0000FF"/>
          <w:spacing w:val="0"/>
          <w:sz w:val="20"/>
          <w:szCs w:val="20"/>
          <w:shd w:val="clear" w:fill="FFFFFF"/>
          <w:lang w:val="en-US" w:eastAsia="zh-CN"/>
        </w:rPr>
        <w:t>2</w:t>
      </w:r>
      <w:r>
        <w:rPr>
          <w:rStyle w:val="5"/>
          <w:rFonts w:hint="eastAsia" w:ascii="Segoe UI" w:hAnsi="Segoe UI" w:cs="Segoe UI"/>
          <w:b/>
          <w:bCs/>
          <w:i w:val="0"/>
          <w:iCs w:val="0"/>
          <w:caps w:val="0"/>
          <w:color w:val="0000FF"/>
          <w:spacing w:val="0"/>
          <w:sz w:val="20"/>
          <w:szCs w:val="20"/>
          <w:shd w:val="clear" w:fill="FFFFFF"/>
          <w:lang w:eastAsia="zh-CN"/>
        </w:rPr>
        <w:t>）</w:t>
      </w:r>
      <w:r>
        <w:rPr>
          <w:rStyle w:val="5"/>
          <w:rFonts w:ascii="Segoe UI" w:hAnsi="Segoe UI" w:eastAsia="Segoe UI" w:cs="Segoe UI"/>
          <w:b/>
          <w:bCs/>
          <w:i w:val="0"/>
          <w:iCs w:val="0"/>
          <w:caps w:val="0"/>
          <w:color w:val="0000FF"/>
          <w:spacing w:val="0"/>
          <w:sz w:val="20"/>
          <w:szCs w:val="20"/>
          <w:shd w:val="clear" w:fill="FFFFFF"/>
        </w:rPr>
        <w:t>统计方法</w:t>
      </w:r>
      <w:r>
        <w:rPr>
          <w:rFonts w:hint="default" w:ascii="Segoe UI" w:hAnsi="Segoe UI" w:eastAsia="Segoe UI" w:cs="Segoe UI"/>
          <w:i w:val="0"/>
          <w:iCs w:val="0"/>
          <w:caps w:val="0"/>
          <w:color w:val="0000FF"/>
          <w:spacing w:val="0"/>
          <w:sz w:val="20"/>
          <w:szCs w:val="20"/>
          <w:shd w:val="clear" w:fill="FFFFFF"/>
        </w:rPr>
        <w:t>：两独立样本 t 检验（样本量较大，可用 z 检验近似）</w:t>
      </w:r>
    </w:p>
    <w:p>
      <w:pPr>
        <w:pStyle w:val="7"/>
        <w:numPr>
          <w:ilvl w:val="0"/>
          <w:numId w:val="3"/>
        </w:numPr>
        <w:tabs>
          <w:tab w:val="left" w:pos="255"/>
        </w:tabs>
        <w:spacing w:before="43" w:after="0" w:line="240" w:lineRule="auto"/>
        <w:ind w:left="255" w:right="0" w:hanging="155"/>
        <w:jc w:val="left"/>
        <w:rPr>
          <w:sz w:val="21"/>
        </w:rPr>
      </w:pPr>
      <w:r>
        <w:rPr>
          <w:spacing w:val="-3"/>
          <w:sz w:val="21"/>
        </w:rPr>
        <w:t>肉类的后熟是什么？肉类检验后分类及特点。</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后熟：</w:t>
      </w:r>
      <w:r>
        <w:rPr>
          <w:rFonts w:hint="eastAsia"/>
          <w:color w:val="0000FF"/>
          <w:sz w:val="21"/>
          <w:lang w:val="en-US" w:eastAsia="zh-CN"/>
        </w:rPr>
        <w:t>僵</w:t>
      </w:r>
      <w:r>
        <w:rPr>
          <w:rFonts w:hint="eastAsia"/>
          <w:color w:val="0000FF"/>
          <w:sz w:val="21"/>
        </w:rPr>
        <w:t>直后，肉内糖原继续分解为乳酸，使pH进一步下降，肌肉结缔组织变软并具有一定的学炜，此时肉松软多汁、滋味鲜美，表面因蛋白凝固形成一层于膜可以阻止微生物侵入，这一过程称为后熟，畜肉处于僵直和后熟阶段为新鲜肉。</w:t>
      </w:r>
    </w:p>
    <w:p>
      <w:pPr>
        <w:pStyle w:val="7"/>
        <w:numPr>
          <w:ilvl w:val="0"/>
          <w:numId w:val="0"/>
        </w:numPr>
        <w:tabs>
          <w:tab w:val="left" w:pos="255"/>
        </w:tabs>
        <w:spacing w:before="43" w:after="0" w:line="240" w:lineRule="auto"/>
        <w:ind w:left="100" w:leftChars="0" w:right="0" w:rightChars="0"/>
        <w:jc w:val="left"/>
        <w:rPr>
          <w:rFonts w:hint="default" w:eastAsia="宋体"/>
          <w:color w:val="0000FF"/>
          <w:sz w:val="21"/>
          <w:lang w:val="en-US" w:eastAsia="zh-CN"/>
        </w:rPr>
      </w:pPr>
      <w:r>
        <w:rPr>
          <w:rFonts w:hint="eastAsia"/>
          <w:color w:val="0000FF"/>
          <w:sz w:val="21"/>
          <w:lang w:val="en-US" w:eastAsia="zh-CN"/>
        </w:rPr>
        <w:t>肉类检验后分类及特点在考点通关上未找到。</w:t>
      </w:r>
    </w:p>
    <w:p>
      <w:pPr>
        <w:pStyle w:val="7"/>
        <w:numPr>
          <w:ilvl w:val="0"/>
          <w:numId w:val="3"/>
        </w:numPr>
        <w:tabs>
          <w:tab w:val="left" w:pos="255"/>
        </w:tabs>
        <w:spacing w:before="43" w:after="0" w:line="240" w:lineRule="auto"/>
        <w:ind w:left="255" w:right="0" w:hanging="155"/>
        <w:jc w:val="left"/>
        <w:rPr>
          <w:sz w:val="21"/>
        </w:rPr>
      </w:pPr>
      <w:r>
        <w:rPr>
          <w:spacing w:val="-3"/>
          <w:sz w:val="21"/>
        </w:rPr>
        <w:t>职业性噪声引起的听觉系统损伤包括哪些类型。</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①暂时性听阈位移（Temporary threshold shift,TTS); 指人或动物接触噪声后引起听阈水平变化，脱高噪声环境后经过一段时间听力可以恢复到原来水平。</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暂时性听阈位移包括听觉适应和听觉疲劳两种情况。</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听觉适应（Auditory adaptation): 短时间暴露在强烈噪声环境中，机体听觉器官敏感性下降，听阀可提高10dB~15dB，脱离噪声接触后对外界的声音有"小"或"远"的感觉，离开噪声环境1分钟内即可恢复 是机体一种生理性保护现象。</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听觉疲劳（Auditory fatigue): 较长时间停留在强噪声环境中，引起听力明显下降 听阔提高超过15dB~30dB．离开噪声环境后，需要数小时甚至数十小时听力才能恢复</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②永久性听阈位移（Permanent threshold shift,PTS」：指由噪声或其他因素引起的不能恢复到正常听闽水平的听阈升高。永久性听阈位移属于不可恢复的改变，其具有内耳病理性改变基础。永久性听阈位移可分为所力损失或听力损伤以及噪声聋。</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表现如下：早期：高频听力下降，听力曲线在3000~6000Hz（多在 4000Hz）出现 "</w:t>
      </w:r>
      <w:r>
        <w:rPr>
          <w:rFonts w:hint="eastAsia"/>
          <w:color w:val="0000FF"/>
          <w:sz w:val="21"/>
          <w:lang w:val="en-US" w:eastAsia="zh-CN"/>
        </w:rPr>
        <w:t>V</w:t>
      </w:r>
      <w:r>
        <w:rPr>
          <w:rFonts w:hint="eastAsia"/>
          <w:color w:val="0000FF"/>
          <w:sz w:val="21"/>
        </w:rPr>
        <w:t>"形下脑，听谷，中后期：高频段听力下降明显，同时语言频段（500~2000Hz）听力也会受到影响。</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③职业性噪声聋（Occupational noise-induced deafness)：是指劳动者在工作过程，由于长期接触噪声而发生的一种渐进性感音性听觉损伤，大多数人双耳对称。是国家法定职业病。诊断要求之一：连续噪声作业工龄不低于3年，暴露噪声强度超过职业接触限值［8小时等效声级（A 计权）≥85dB]。诊断分级：轻度噪声聋：26dB~40dB(HL)：中度噪声聋：41dB~55dB(HL):重度噪声聋：≥56dB(HL)。</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④爆震性耳聋（Explosive deafness)：在某些特殊条件下，如进行爆破，由于防护不当或缺乏必要的预防设备，可因强烈的爆炸所产生的冲击波造成急性听觉系统的外伤 引起听力丧失。</w:t>
      </w:r>
    </w:p>
    <w:p>
      <w:pPr>
        <w:pStyle w:val="7"/>
        <w:numPr>
          <w:ilvl w:val="0"/>
          <w:numId w:val="3"/>
        </w:numPr>
        <w:tabs>
          <w:tab w:val="left" w:pos="255"/>
        </w:tabs>
        <w:spacing w:before="43" w:after="0" w:line="240" w:lineRule="auto"/>
        <w:ind w:left="255" w:right="0" w:hanging="155"/>
        <w:jc w:val="left"/>
        <w:rPr>
          <w:sz w:val="21"/>
        </w:rPr>
      </w:pPr>
      <w:r>
        <w:rPr>
          <w:spacing w:val="-3"/>
          <w:sz w:val="21"/>
        </w:rPr>
        <w:t>江河水系采样检测、采样点和采样断面的选择。</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(1）采样断面的选择：首先应了解沿河城市和企业分布情况。调查水系的水质状况，应在河段至少设置3个采样断面：</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①设在污染源的上游清洁或对照断面，可了解河水未受本地区污染时的水质状况。</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②设在污染源的下游污染断面，可了解水质污染状况和程度。</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③设在污染断面下游一定距离的自净断面，可了解污染范围及河水的自净能力。</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(2）采样点的选择：各断面采样点数依河道宽度而定：</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①河道较宽的水体如长江中、下游可设5个采样点（分别距两岸边50m、150m及江心处）。</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2较小的河流可只在河中心点采样。</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③对重要的支流入口也应进行采样监测，因为一些支流本身就是一个重要的污染源。④采样深度一般在水下0.2~0.5m。</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(3）采样时间和频率：针对调查目的和不同水质监管要求进行采样。</w:t>
      </w:r>
    </w:p>
    <w:p>
      <w:pPr>
        <w:pStyle w:val="7"/>
        <w:numPr>
          <w:ilvl w:val="0"/>
          <w:numId w:val="0"/>
        </w:numPr>
        <w:tabs>
          <w:tab w:val="left" w:pos="255"/>
        </w:tabs>
        <w:spacing w:before="43" w:after="0" w:line="240" w:lineRule="auto"/>
        <w:ind w:left="100" w:leftChars="0" w:right="0" w:rightChars="0"/>
        <w:jc w:val="left"/>
        <w:rPr>
          <w:rFonts w:hint="eastAsia"/>
          <w:color w:val="0000FF"/>
          <w:sz w:val="21"/>
        </w:rPr>
      </w:pPr>
      <w:r>
        <w:rPr>
          <w:rFonts w:hint="eastAsia"/>
          <w:color w:val="0000FF"/>
          <w:sz w:val="21"/>
        </w:rPr>
        <w:t>①如条件许可应对其进行连续检测，如条件不许可，则可采取每月或每季检测。</w:t>
      </w:r>
    </w:p>
    <w:p>
      <w:pPr>
        <w:pStyle w:val="7"/>
        <w:numPr>
          <w:ilvl w:val="0"/>
          <w:numId w:val="0"/>
        </w:numPr>
        <w:tabs>
          <w:tab w:val="left" w:pos="255"/>
        </w:tabs>
        <w:spacing w:before="43" w:after="0" w:line="240" w:lineRule="auto"/>
        <w:ind w:left="100" w:leftChars="0" w:right="0" w:rightChars="0"/>
        <w:jc w:val="left"/>
        <w:rPr>
          <w:color w:val="0000FF"/>
          <w:sz w:val="21"/>
        </w:rPr>
      </w:pPr>
      <w:r>
        <w:rPr>
          <w:rFonts w:hint="eastAsia"/>
          <w:color w:val="0000FF"/>
          <w:sz w:val="21"/>
        </w:rPr>
        <w:t>②为了解不同时间和季节水体质量状况，则至少应在平水期、枯水期和丰水期各采样一次，每次连续2-3天。⑧采样前数日及采样时应避开雨天，以免水样被稀释。</w:t>
      </w:r>
    </w:p>
    <w:sectPr>
      <w:type w:val="continuous"/>
      <w:pgSz w:w="11910" w:h="16840"/>
      <w:pgMar w:top="1380" w:right="1700" w:bottom="280" w:left="17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Segoe UI">
    <w:altName w:val="Arial"/>
    <w:panose1 w:val="020B0502040204020203"/>
    <w:charset w:val="00"/>
    <w:family w:val="auto"/>
    <w:pitch w:val="default"/>
    <w:sig w:usb0="00000000" w:usb1="00000000" w:usb2="00000009" w:usb3="00000000" w:csb0="200001FF" w:csb1="00000000"/>
  </w:font>
  <w:font w:name="汉仪中等线KW">
    <w:panose1 w:val="01010104010101010101"/>
    <w:charset w:val="86"/>
    <w:family w:val="auto"/>
    <w:pitch w:val="default"/>
    <w:sig w:usb0="800002BF" w:usb1="004F7CFA"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F280C4"/>
    <w:multiLevelType w:val="multilevel"/>
    <w:tmpl w:val="CDF280C4"/>
    <w:lvl w:ilvl="0" w:tentative="0">
      <w:start w:val="1"/>
      <w:numFmt w:val="decimal"/>
      <w:lvlText w:val="%1."/>
      <w:lvlJc w:val="left"/>
      <w:pPr>
        <w:ind w:left="258" w:hanging="158"/>
        <w:jc w:val="left"/>
      </w:pPr>
      <w:rPr>
        <w:rFonts w:hint="default" w:ascii="Times New Roman" w:hAnsi="Times New Roman" w:eastAsia="宋体" w:cs="Times New Roman"/>
        <w:b w:val="0"/>
        <w:bCs w:val="0"/>
        <w:i w:val="0"/>
        <w:iCs w:val="0"/>
        <w:spacing w:val="-1"/>
        <w:w w:val="72"/>
        <w:sz w:val="24"/>
        <w:szCs w:val="24"/>
        <w:lang w:val="en-US" w:eastAsia="zh-CN" w:bidi="ar-SA"/>
      </w:rPr>
    </w:lvl>
    <w:lvl w:ilvl="1" w:tentative="0">
      <w:start w:val="0"/>
      <w:numFmt w:val="bullet"/>
      <w:lvlText w:val="•"/>
      <w:lvlJc w:val="left"/>
      <w:pPr>
        <w:ind w:left="1084" w:hanging="158"/>
      </w:pPr>
      <w:rPr>
        <w:rFonts w:hint="default"/>
        <w:lang w:val="en-US" w:eastAsia="zh-CN" w:bidi="ar-SA"/>
      </w:rPr>
    </w:lvl>
    <w:lvl w:ilvl="2" w:tentative="0">
      <w:start w:val="0"/>
      <w:numFmt w:val="bullet"/>
      <w:lvlText w:val="•"/>
      <w:lvlJc w:val="left"/>
      <w:pPr>
        <w:ind w:left="1909" w:hanging="158"/>
      </w:pPr>
      <w:rPr>
        <w:rFonts w:hint="default"/>
        <w:lang w:val="en-US" w:eastAsia="zh-CN" w:bidi="ar-SA"/>
      </w:rPr>
    </w:lvl>
    <w:lvl w:ilvl="3" w:tentative="0">
      <w:start w:val="0"/>
      <w:numFmt w:val="bullet"/>
      <w:lvlText w:val="•"/>
      <w:lvlJc w:val="left"/>
      <w:pPr>
        <w:ind w:left="2733" w:hanging="158"/>
      </w:pPr>
      <w:rPr>
        <w:rFonts w:hint="default"/>
        <w:lang w:val="en-US" w:eastAsia="zh-CN" w:bidi="ar-SA"/>
      </w:rPr>
    </w:lvl>
    <w:lvl w:ilvl="4" w:tentative="0">
      <w:start w:val="0"/>
      <w:numFmt w:val="bullet"/>
      <w:lvlText w:val="•"/>
      <w:lvlJc w:val="left"/>
      <w:pPr>
        <w:ind w:left="3558" w:hanging="158"/>
      </w:pPr>
      <w:rPr>
        <w:rFonts w:hint="default"/>
        <w:lang w:val="en-US" w:eastAsia="zh-CN" w:bidi="ar-SA"/>
      </w:rPr>
    </w:lvl>
    <w:lvl w:ilvl="5" w:tentative="0">
      <w:start w:val="0"/>
      <w:numFmt w:val="bullet"/>
      <w:lvlText w:val="•"/>
      <w:lvlJc w:val="left"/>
      <w:pPr>
        <w:ind w:left="4383" w:hanging="158"/>
      </w:pPr>
      <w:rPr>
        <w:rFonts w:hint="default"/>
        <w:lang w:val="en-US" w:eastAsia="zh-CN" w:bidi="ar-SA"/>
      </w:rPr>
    </w:lvl>
    <w:lvl w:ilvl="6" w:tentative="0">
      <w:start w:val="0"/>
      <w:numFmt w:val="bullet"/>
      <w:lvlText w:val="•"/>
      <w:lvlJc w:val="left"/>
      <w:pPr>
        <w:ind w:left="5207" w:hanging="158"/>
      </w:pPr>
      <w:rPr>
        <w:rFonts w:hint="default"/>
        <w:lang w:val="en-US" w:eastAsia="zh-CN" w:bidi="ar-SA"/>
      </w:rPr>
    </w:lvl>
    <w:lvl w:ilvl="7" w:tentative="0">
      <w:start w:val="0"/>
      <w:numFmt w:val="bullet"/>
      <w:lvlText w:val="•"/>
      <w:lvlJc w:val="left"/>
      <w:pPr>
        <w:ind w:left="6032" w:hanging="158"/>
      </w:pPr>
      <w:rPr>
        <w:rFonts w:hint="default"/>
        <w:lang w:val="en-US" w:eastAsia="zh-CN" w:bidi="ar-SA"/>
      </w:rPr>
    </w:lvl>
    <w:lvl w:ilvl="8" w:tentative="0">
      <w:start w:val="0"/>
      <w:numFmt w:val="bullet"/>
      <w:lvlText w:val="•"/>
      <w:lvlJc w:val="left"/>
      <w:pPr>
        <w:ind w:left="6857" w:hanging="158"/>
      </w:pPr>
      <w:rPr>
        <w:rFonts w:hint="default"/>
        <w:lang w:val="en-US" w:eastAsia="zh-CN" w:bidi="ar-SA"/>
      </w:rPr>
    </w:lvl>
  </w:abstractNum>
  <w:abstractNum w:abstractNumId="1">
    <w:nsid w:val="EDDEEE91"/>
    <w:multiLevelType w:val="multilevel"/>
    <w:tmpl w:val="EDDEEE91"/>
    <w:lvl w:ilvl="0" w:tentative="0">
      <w:start w:val="1"/>
      <w:numFmt w:val="decimal"/>
      <w:lvlText w:val="（%1）"/>
      <w:lvlJc w:val="left"/>
      <w:pPr>
        <w:ind w:left="634" w:hanging="534"/>
        <w:jc w:val="left"/>
      </w:pPr>
      <w:rPr>
        <w:rFonts w:hint="default" w:ascii="宋体" w:hAnsi="宋体" w:eastAsia="宋体" w:cs="宋体"/>
        <w:b w:val="0"/>
        <w:bCs w:val="0"/>
        <w:i w:val="0"/>
        <w:iCs w:val="0"/>
        <w:spacing w:val="-1"/>
        <w:w w:val="100"/>
        <w:sz w:val="19"/>
        <w:szCs w:val="19"/>
        <w:lang w:val="en-US" w:eastAsia="zh-CN" w:bidi="ar-SA"/>
      </w:rPr>
    </w:lvl>
    <w:lvl w:ilvl="1" w:tentative="0">
      <w:start w:val="0"/>
      <w:numFmt w:val="bullet"/>
      <w:lvlText w:val="•"/>
      <w:lvlJc w:val="left"/>
      <w:pPr>
        <w:ind w:left="1426" w:hanging="534"/>
      </w:pPr>
      <w:rPr>
        <w:rFonts w:hint="default"/>
        <w:lang w:val="en-US" w:eastAsia="zh-CN" w:bidi="ar-SA"/>
      </w:rPr>
    </w:lvl>
    <w:lvl w:ilvl="2" w:tentative="0">
      <w:start w:val="0"/>
      <w:numFmt w:val="bullet"/>
      <w:lvlText w:val="•"/>
      <w:lvlJc w:val="left"/>
      <w:pPr>
        <w:ind w:left="2213" w:hanging="534"/>
      </w:pPr>
      <w:rPr>
        <w:rFonts w:hint="default"/>
        <w:lang w:val="en-US" w:eastAsia="zh-CN" w:bidi="ar-SA"/>
      </w:rPr>
    </w:lvl>
    <w:lvl w:ilvl="3" w:tentative="0">
      <w:start w:val="0"/>
      <w:numFmt w:val="bullet"/>
      <w:lvlText w:val="•"/>
      <w:lvlJc w:val="left"/>
      <w:pPr>
        <w:ind w:left="2999" w:hanging="534"/>
      </w:pPr>
      <w:rPr>
        <w:rFonts w:hint="default"/>
        <w:lang w:val="en-US" w:eastAsia="zh-CN" w:bidi="ar-SA"/>
      </w:rPr>
    </w:lvl>
    <w:lvl w:ilvl="4" w:tentative="0">
      <w:start w:val="0"/>
      <w:numFmt w:val="bullet"/>
      <w:lvlText w:val="•"/>
      <w:lvlJc w:val="left"/>
      <w:pPr>
        <w:ind w:left="3786" w:hanging="534"/>
      </w:pPr>
      <w:rPr>
        <w:rFonts w:hint="default"/>
        <w:lang w:val="en-US" w:eastAsia="zh-CN" w:bidi="ar-SA"/>
      </w:rPr>
    </w:lvl>
    <w:lvl w:ilvl="5" w:tentative="0">
      <w:start w:val="0"/>
      <w:numFmt w:val="bullet"/>
      <w:lvlText w:val="•"/>
      <w:lvlJc w:val="left"/>
      <w:pPr>
        <w:ind w:left="4573" w:hanging="534"/>
      </w:pPr>
      <w:rPr>
        <w:rFonts w:hint="default"/>
        <w:lang w:val="en-US" w:eastAsia="zh-CN" w:bidi="ar-SA"/>
      </w:rPr>
    </w:lvl>
    <w:lvl w:ilvl="6" w:tentative="0">
      <w:start w:val="0"/>
      <w:numFmt w:val="bullet"/>
      <w:lvlText w:val="•"/>
      <w:lvlJc w:val="left"/>
      <w:pPr>
        <w:ind w:left="5359" w:hanging="534"/>
      </w:pPr>
      <w:rPr>
        <w:rFonts w:hint="default"/>
        <w:lang w:val="en-US" w:eastAsia="zh-CN" w:bidi="ar-SA"/>
      </w:rPr>
    </w:lvl>
    <w:lvl w:ilvl="7" w:tentative="0">
      <w:start w:val="0"/>
      <w:numFmt w:val="bullet"/>
      <w:lvlText w:val="•"/>
      <w:lvlJc w:val="left"/>
      <w:pPr>
        <w:ind w:left="6146" w:hanging="534"/>
      </w:pPr>
      <w:rPr>
        <w:rFonts w:hint="default"/>
        <w:lang w:val="en-US" w:eastAsia="zh-CN" w:bidi="ar-SA"/>
      </w:rPr>
    </w:lvl>
    <w:lvl w:ilvl="8" w:tentative="0">
      <w:start w:val="0"/>
      <w:numFmt w:val="bullet"/>
      <w:lvlText w:val="•"/>
      <w:lvlJc w:val="left"/>
      <w:pPr>
        <w:ind w:left="6933" w:hanging="534"/>
      </w:pPr>
      <w:rPr>
        <w:rFonts w:hint="default"/>
        <w:lang w:val="en-US" w:eastAsia="zh-CN" w:bidi="ar-SA"/>
      </w:rPr>
    </w:lvl>
  </w:abstractNum>
  <w:abstractNum w:abstractNumId="2">
    <w:nsid w:val="F48D7C17"/>
    <w:multiLevelType w:val="multilevel"/>
    <w:tmpl w:val="F48D7C17"/>
    <w:lvl w:ilvl="0" w:tentative="0">
      <w:start w:val="1"/>
      <w:numFmt w:val="decimal"/>
      <w:lvlText w:val="%1."/>
      <w:lvlJc w:val="left"/>
      <w:pPr>
        <w:ind w:left="258" w:hanging="158"/>
        <w:jc w:val="left"/>
      </w:pPr>
      <w:rPr>
        <w:rFonts w:hint="default" w:ascii="宋体" w:hAnsi="宋体" w:eastAsia="宋体" w:cs="宋体"/>
        <w:b w:val="0"/>
        <w:bCs w:val="0"/>
        <w:i w:val="0"/>
        <w:iCs w:val="0"/>
        <w:spacing w:val="-1"/>
        <w:w w:val="72"/>
        <w:sz w:val="19"/>
        <w:szCs w:val="19"/>
        <w:lang w:val="en-US" w:eastAsia="zh-CN" w:bidi="ar-SA"/>
      </w:rPr>
    </w:lvl>
    <w:lvl w:ilvl="1" w:tentative="0">
      <w:start w:val="0"/>
      <w:numFmt w:val="bullet"/>
      <w:lvlText w:val="•"/>
      <w:lvlJc w:val="left"/>
      <w:pPr>
        <w:ind w:left="1084" w:hanging="158"/>
      </w:pPr>
      <w:rPr>
        <w:rFonts w:hint="default"/>
        <w:lang w:val="en-US" w:eastAsia="zh-CN" w:bidi="ar-SA"/>
      </w:rPr>
    </w:lvl>
    <w:lvl w:ilvl="2" w:tentative="0">
      <w:start w:val="0"/>
      <w:numFmt w:val="bullet"/>
      <w:lvlText w:val="•"/>
      <w:lvlJc w:val="left"/>
      <w:pPr>
        <w:ind w:left="1909" w:hanging="158"/>
      </w:pPr>
      <w:rPr>
        <w:rFonts w:hint="default"/>
        <w:lang w:val="en-US" w:eastAsia="zh-CN" w:bidi="ar-SA"/>
      </w:rPr>
    </w:lvl>
    <w:lvl w:ilvl="3" w:tentative="0">
      <w:start w:val="0"/>
      <w:numFmt w:val="bullet"/>
      <w:lvlText w:val="•"/>
      <w:lvlJc w:val="left"/>
      <w:pPr>
        <w:ind w:left="2733" w:hanging="158"/>
      </w:pPr>
      <w:rPr>
        <w:rFonts w:hint="default"/>
        <w:lang w:val="en-US" w:eastAsia="zh-CN" w:bidi="ar-SA"/>
      </w:rPr>
    </w:lvl>
    <w:lvl w:ilvl="4" w:tentative="0">
      <w:start w:val="0"/>
      <w:numFmt w:val="bullet"/>
      <w:lvlText w:val="•"/>
      <w:lvlJc w:val="left"/>
      <w:pPr>
        <w:ind w:left="3558" w:hanging="158"/>
      </w:pPr>
      <w:rPr>
        <w:rFonts w:hint="default"/>
        <w:lang w:val="en-US" w:eastAsia="zh-CN" w:bidi="ar-SA"/>
      </w:rPr>
    </w:lvl>
    <w:lvl w:ilvl="5" w:tentative="0">
      <w:start w:val="0"/>
      <w:numFmt w:val="bullet"/>
      <w:lvlText w:val="•"/>
      <w:lvlJc w:val="left"/>
      <w:pPr>
        <w:ind w:left="4383" w:hanging="158"/>
      </w:pPr>
      <w:rPr>
        <w:rFonts w:hint="default"/>
        <w:lang w:val="en-US" w:eastAsia="zh-CN" w:bidi="ar-SA"/>
      </w:rPr>
    </w:lvl>
    <w:lvl w:ilvl="6" w:tentative="0">
      <w:start w:val="0"/>
      <w:numFmt w:val="bullet"/>
      <w:lvlText w:val="•"/>
      <w:lvlJc w:val="left"/>
      <w:pPr>
        <w:ind w:left="5207" w:hanging="158"/>
      </w:pPr>
      <w:rPr>
        <w:rFonts w:hint="default"/>
        <w:lang w:val="en-US" w:eastAsia="zh-CN" w:bidi="ar-SA"/>
      </w:rPr>
    </w:lvl>
    <w:lvl w:ilvl="7" w:tentative="0">
      <w:start w:val="0"/>
      <w:numFmt w:val="bullet"/>
      <w:lvlText w:val="•"/>
      <w:lvlJc w:val="left"/>
      <w:pPr>
        <w:ind w:left="6032" w:hanging="158"/>
      </w:pPr>
      <w:rPr>
        <w:rFonts w:hint="default"/>
        <w:lang w:val="en-US" w:eastAsia="zh-CN" w:bidi="ar-SA"/>
      </w:rPr>
    </w:lvl>
    <w:lvl w:ilvl="8" w:tentative="0">
      <w:start w:val="0"/>
      <w:numFmt w:val="bullet"/>
      <w:lvlText w:val="•"/>
      <w:lvlJc w:val="left"/>
      <w:pPr>
        <w:ind w:left="6857" w:hanging="158"/>
      </w:pPr>
      <w:rPr>
        <w:rFonts w:hint="default"/>
        <w:lang w:val="en-US" w:eastAsia="zh-CN" w:bidi="ar-SA"/>
      </w:rPr>
    </w:lvl>
  </w:abstractNum>
  <w:abstractNum w:abstractNumId="3">
    <w:nsid w:val="7EFF70E2"/>
    <w:multiLevelType w:val="multilevel"/>
    <w:tmpl w:val="7EFF70E2"/>
    <w:lvl w:ilvl="0" w:tentative="0">
      <w:start w:val="2"/>
      <w:numFmt w:val="decimal"/>
      <w:lvlText w:val="%1."/>
      <w:lvlJc w:val="left"/>
      <w:pPr>
        <w:ind w:left="258" w:hanging="158"/>
        <w:jc w:val="left"/>
      </w:pPr>
      <w:rPr>
        <w:rFonts w:hint="default" w:ascii="宋体" w:hAnsi="宋体" w:eastAsia="宋体" w:cs="宋体"/>
        <w:b w:val="0"/>
        <w:bCs w:val="0"/>
        <w:i w:val="0"/>
        <w:iCs w:val="0"/>
        <w:spacing w:val="-1"/>
        <w:w w:val="44"/>
        <w:sz w:val="19"/>
        <w:szCs w:val="19"/>
        <w:lang w:val="en-US" w:eastAsia="zh-CN" w:bidi="ar-SA"/>
      </w:rPr>
    </w:lvl>
    <w:lvl w:ilvl="1" w:tentative="0">
      <w:start w:val="0"/>
      <w:numFmt w:val="bullet"/>
      <w:lvlText w:val="•"/>
      <w:lvlJc w:val="left"/>
      <w:pPr>
        <w:ind w:left="1084" w:hanging="158"/>
      </w:pPr>
      <w:rPr>
        <w:rFonts w:hint="default"/>
        <w:lang w:val="en-US" w:eastAsia="zh-CN" w:bidi="ar-SA"/>
      </w:rPr>
    </w:lvl>
    <w:lvl w:ilvl="2" w:tentative="0">
      <w:start w:val="0"/>
      <w:numFmt w:val="bullet"/>
      <w:lvlText w:val="•"/>
      <w:lvlJc w:val="left"/>
      <w:pPr>
        <w:ind w:left="1909" w:hanging="158"/>
      </w:pPr>
      <w:rPr>
        <w:rFonts w:hint="default"/>
        <w:lang w:val="en-US" w:eastAsia="zh-CN" w:bidi="ar-SA"/>
      </w:rPr>
    </w:lvl>
    <w:lvl w:ilvl="3" w:tentative="0">
      <w:start w:val="0"/>
      <w:numFmt w:val="bullet"/>
      <w:lvlText w:val="•"/>
      <w:lvlJc w:val="left"/>
      <w:pPr>
        <w:ind w:left="2733" w:hanging="158"/>
      </w:pPr>
      <w:rPr>
        <w:rFonts w:hint="default"/>
        <w:lang w:val="en-US" w:eastAsia="zh-CN" w:bidi="ar-SA"/>
      </w:rPr>
    </w:lvl>
    <w:lvl w:ilvl="4" w:tentative="0">
      <w:start w:val="0"/>
      <w:numFmt w:val="bullet"/>
      <w:lvlText w:val="•"/>
      <w:lvlJc w:val="left"/>
      <w:pPr>
        <w:ind w:left="3558" w:hanging="158"/>
      </w:pPr>
      <w:rPr>
        <w:rFonts w:hint="default"/>
        <w:lang w:val="en-US" w:eastAsia="zh-CN" w:bidi="ar-SA"/>
      </w:rPr>
    </w:lvl>
    <w:lvl w:ilvl="5" w:tentative="0">
      <w:start w:val="0"/>
      <w:numFmt w:val="bullet"/>
      <w:lvlText w:val="•"/>
      <w:lvlJc w:val="left"/>
      <w:pPr>
        <w:ind w:left="4383" w:hanging="158"/>
      </w:pPr>
      <w:rPr>
        <w:rFonts w:hint="default"/>
        <w:lang w:val="en-US" w:eastAsia="zh-CN" w:bidi="ar-SA"/>
      </w:rPr>
    </w:lvl>
    <w:lvl w:ilvl="6" w:tentative="0">
      <w:start w:val="0"/>
      <w:numFmt w:val="bullet"/>
      <w:lvlText w:val="•"/>
      <w:lvlJc w:val="left"/>
      <w:pPr>
        <w:ind w:left="5207" w:hanging="158"/>
      </w:pPr>
      <w:rPr>
        <w:rFonts w:hint="default"/>
        <w:lang w:val="en-US" w:eastAsia="zh-CN" w:bidi="ar-SA"/>
      </w:rPr>
    </w:lvl>
    <w:lvl w:ilvl="7" w:tentative="0">
      <w:start w:val="0"/>
      <w:numFmt w:val="bullet"/>
      <w:lvlText w:val="•"/>
      <w:lvlJc w:val="left"/>
      <w:pPr>
        <w:ind w:left="6032" w:hanging="158"/>
      </w:pPr>
      <w:rPr>
        <w:rFonts w:hint="default"/>
        <w:lang w:val="en-US" w:eastAsia="zh-CN" w:bidi="ar-SA"/>
      </w:rPr>
    </w:lvl>
    <w:lvl w:ilvl="8" w:tentative="0">
      <w:start w:val="0"/>
      <w:numFmt w:val="bullet"/>
      <w:lvlText w:val="•"/>
      <w:lvlJc w:val="left"/>
      <w:pPr>
        <w:ind w:left="6857" w:hanging="158"/>
      </w:pPr>
      <w:rPr>
        <w:rFonts w:hint="default"/>
        <w:lang w:val="en-US" w:eastAsia="zh-CN" w:bidi="ar-S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4"/>
  </w:compat>
  <w:rsids>
    <w:rsidRoot w:val="00000000"/>
    <w:rsid w:val="15D97D8A"/>
    <w:rsid w:val="26323CB8"/>
    <w:rsid w:val="27D03788"/>
    <w:rsid w:val="416A0352"/>
    <w:rsid w:val="5C250B55"/>
    <w:rsid w:val="676254A4"/>
    <w:rsid w:val="77364EC0"/>
    <w:rsid w:val="B59FBBCD"/>
    <w:rsid w:val="DF6E1DF9"/>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character" w:default="1" w:styleId="4">
    <w:name w:val="Default Paragraph Font"/>
    <w:semiHidden/>
    <w:unhideWhenUsed/>
    <w:uiPriority w:val="1"/>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Body Text"/>
    <w:basedOn w:val="1"/>
    <w:qFormat/>
    <w:uiPriority w:val="1"/>
    <w:pPr>
      <w:spacing w:before="43"/>
      <w:ind w:left="255" w:hanging="155"/>
    </w:pPr>
    <w:rPr>
      <w:rFonts w:ascii="宋体" w:hAnsi="宋体" w:eastAsia="宋体" w:cs="宋体"/>
      <w:sz w:val="21"/>
      <w:szCs w:val="21"/>
      <w:lang w:val="en-US" w:eastAsia="zh-CN" w:bidi="ar-SA"/>
    </w:rPr>
  </w:style>
  <w:style w:type="character" w:styleId="5">
    <w:name w:val="Strong"/>
    <w:basedOn w:val="4"/>
    <w:qFormat/>
    <w:uiPriority w:val="0"/>
    <w:rPr>
      <w:b/>
    </w:rPr>
  </w:style>
  <w:style w:type="table" w:customStyle="1" w:styleId="6">
    <w:name w:val="Table Normal"/>
    <w:semiHidden/>
    <w:unhideWhenUsed/>
    <w:qFormat/>
    <w:uiPriority w:val="2"/>
    <w:tblPr>
      <w:tblLayout w:type="fixed"/>
      <w:tblCellMar>
        <w:top w:w="0" w:type="dxa"/>
        <w:left w:w="0" w:type="dxa"/>
        <w:bottom w:w="0" w:type="dxa"/>
        <w:right w:w="0" w:type="dxa"/>
      </w:tblCellMar>
    </w:tblPr>
  </w:style>
  <w:style w:type="paragraph" w:styleId="7">
    <w:name w:val="List Paragraph"/>
    <w:basedOn w:val="1"/>
    <w:qFormat/>
    <w:uiPriority w:val="1"/>
    <w:pPr>
      <w:spacing w:before="43"/>
      <w:ind w:left="255" w:hanging="155"/>
    </w:pPr>
    <w:rPr>
      <w:rFonts w:ascii="宋体" w:hAnsi="宋体" w:eastAsia="宋体" w:cs="宋体"/>
      <w:lang w:val="en-US" w:eastAsia="zh-CN" w:bidi="ar-SA"/>
    </w:rPr>
  </w:style>
  <w:style w:type="paragraph" w:customStyle="1" w:styleId="8">
    <w:name w:val="Table Paragraph"/>
    <w:basedOn w:val="1"/>
    <w:qFormat/>
    <w:uiPriority w:val="1"/>
    <w:pPr>
      <w:spacing w:before="8"/>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362</Words>
  <Characters>393</Characters>
  <TotalTime>56</TotalTime>
  <ScaleCrop>false</ScaleCrop>
  <LinksUpToDate>false</LinksUpToDate>
  <CharactersWithSpaces>413</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2025-04-26T19:53:00Z</dcterms:created>
  <dc:creator>琦琦 杨</dc:creator>
  <cp:lastModifiedBy>月荷沁香</cp:lastModifiedBy>
  <dcterms:modified xsi:type="dcterms:W3CDTF">2025-12-12T12:45:46Z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2023-06-09T00:00:00Z</vt:filetime>
  </property>
  <property fmtid="{D5CDD505-2E9C-101B-9397-08002B2CF9AE}" pid="3" name="Creator">
    <vt:lpwstr>Microsoft® Word 2016</vt:lpwstr>
  </property>
  <property fmtid="{D5CDD505-2E9C-101B-9397-08002B2CF9AE}" pid="4" name="LastSaved">
    <vt:filetime>2025-04-26T00:00:00Z</vt:filetime>
  </property>
  <property fmtid="{D5CDD505-2E9C-101B-9397-08002B2CF9AE}" pid="5" name="Producer">
    <vt:lpwstr>Microsoft® Word 2016</vt:lpwstr>
  </property>
  <property fmtid="{D5CDD505-2E9C-101B-9397-08002B2CF9AE}" pid="6" name="KSOProductBuildVer">
    <vt:lpwstr>2052-0.0.0.0</vt:lpwstr>
  </property>
  <property fmtid="{D5CDD505-2E9C-101B-9397-08002B2CF9AE}" pid="7" name="KSOTemplateDocerSaveRecord">
    <vt:lpwstr>eyJoZGlkIjoiMDU5ZDk0MTkxYzFjZmVjMDc1OTQ0OTU0MWY1Njk5YWUiLCJ1c2VySWQiOiI5ODQzMTI1NTcifQ==</vt:lpwstr>
  </property>
  <property fmtid="{D5CDD505-2E9C-101B-9397-08002B2CF9AE}" pid="8" name="ICV">
    <vt:lpwstr>7E5E9181AAEF408D8450A77FB9281ECB_13</vt:lpwstr>
  </property>
</Properties>
</file>